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FD12B" w14:textId="77777777" w:rsidR="007B5051" w:rsidRDefault="007B5051" w:rsidP="006241D9">
      <w:pPr>
        <w:spacing w:after="0"/>
        <w:rPr>
          <w:sz w:val="24"/>
        </w:rPr>
      </w:pPr>
      <w:bookmarkStart w:id="0" w:name="_GoBack"/>
      <w:bookmarkEnd w:id="0"/>
    </w:p>
    <w:p w14:paraId="08B784B5" w14:textId="3F27D379" w:rsidR="007527BF" w:rsidRPr="007527BF" w:rsidRDefault="007527BF" w:rsidP="007527BF">
      <w:pPr>
        <w:spacing w:after="0"/>
        <w:jc w:val="center"/>
        <w:rPr>
          <w:b/>
          <w:sz w:val="24"/>
        </w:rPr>
      </w:pPr>
      <w:r w:rsidRPr="007527BF">
        <w:rPr>
          <w:b/>
          <w:sz w:val="24"/>
        </w:rPr>
        <w:t xml:space="preserve">SPECIAL PROVISIONS APPLICABLE TO THE SURFACE COMBATANT </w:t>
      </w:r>
      <w:r w:rsidR="004E607A">
        <w:rPr>
          <w:b/>
          <w:sz w:val="24"/>
        </w:rPr>
        <w:t>INDUSTRIAL</w:t>
      </w:r>
      <w:r w:rsidRPr="007527BF">
        <w:rPr>
          <w:b/>
          <w:sz w:val="24"/>
        </w:rPr>
        <w:t xml:space="preserve"> BASE (SCIB) </w:t>
      </w:r>
      <w:r>
        <w:rPr>
          <w:b/>
          <w:sz w:val="24"/>
        </w:rPr>
        <w:br/>
      </w:r>
      <w:r w:rsidRPr="007527BF">
        <w:rPr>
          <w:b/>
          <w:sz w:val="24"/>
        </w:rPr>
        <w:t xml:space="preserve">CAPITAL EXPENDITURE INCENTIVE </w:t>
      </w:r>
      <w:r>
        <w:rPr>
          <w:b/>
          <w:sz w:val="24"/>
        </w:rPr>
        <w:t>FUNDING</w:t>
      </w:r>
    </w:p>
    <w:p w14:paraId="194D62BA" w14:textId="53A0C02C" w:rsidR="007527BF" w:rsidRDefault="007527BF" w:rsidP="007527BF">
      <w:pPr>
        <w:spacing w:after="0"/>
        <w:jc w:val="center"/>
        <w:rPr>
          <w:sz w:val="24"/>
        </w:rPr>
      </w:pPr>
      <w:r w:rsidRPr="007527BF">
        <w:rPr>
          <w:sz w:val="24"/>
        </w:rPr>
        <w:t xml:space="preserve">DDG 51 PROGRAM </w:t>
      </w:r>
      <w:r>
        <w:rPr>
          <w:sz w:val="24"/>
        </w:rPr>
        <w:t>PRIME CONTRACT NO. N00024-18-C-2307</w:t>
      </w:r>
    </w:p>
    <w:p w14:paraId="1D135010" w14:textId="71C9CB67" w:rsidR="007527BF" w:rsidRDefault="007527BF" w:rsidP="007527BF">
      <w:pPr>
        <w:autoSpaceDE w:val="0"/>
        <w:autoSpaceDN w:val="0"/>
        <w:adjustRightInd w:val="0"/>
        <w:spacing w:after="0" w:line="240" w:lineRule="auto"/>
        <w:rPr>
          <w:rFonts w:asciiTheme="majorHAnsi" w:hAnsiTheme="majorHAnsi" w:cs="CIDFont+F1"/>
        </w:rPr>
      </w:pPr>
    </w:p>
    <w:p w14:paraId="08F33222" w14:textId="1EF81A19" w:rsidR="007527BF" w:rsidRPr="00C762A3" w:rsidRDefault="00BD1DEB" w:rsidP="00BD1DEB">
      <w:pPr>
        <w:spacing w:line="240" w:lineRule="auto"/>
        <w:ind w:left="360" w:hanging="360"/>
        <w:rPr>
          <w:rFonts w:cstheme="minorHAnsi"/>
        </w:rPr>
      </w:pPr>
      <w:r>
        <w:rPr>
          <w:rFonts w:asciiTheme="majorHAnsi" w:eastAsia="Times New Roman" w:hAnsiTheme="majorHAnsi" w:cs="Times New Roman"/>
          <w:bCs/>
        </w:rPr>
        <w:t xml:space="preserve">1.  </w:t>
      </w:r>
      <w:r>
        <w:rPr>
          <w:rFonts w:asciiTheme="majorHAnsi" w:eastAsia="Times New Roman" w:hAnsiTheme="majorHAnsi" w:cs="Times New Roman"/>
          <w:bCs/>
        </w:rPr>
        <w:tab/>
      </w:r>
      <w:r w:rsidR="0088660A" w:rsidRPr="00C762A3">
        <w:rPr>
          <w:rFonts w:eastAsia="Times New Roman" w:cstheme="minorHAnsi"/>
          <w:bCs/>
        </w:rPr>
        <w:t>Seller/</w:t>
      </w:r>
      <w:r w:rsidRPr="00C762A3">
        <w:rPr>
          <w:rFonts w:eastAsia="Times New Roman" w:cstheme="minorHAnsi"/>
          <w:bCs/>
        </w:rPr>
        <w:t>Supplier has</w:t>
      </w:r>
      <w:r w:rsidR="007527BF" w:rsidRPr="00C762A3">
        <w:rPr>
          <w:rFonts w:eastAsia="Times New Roman" w:cstheme="minorHAnsi"/>
          <w:bCs/>
        </w:rPr>
        <w:t xml:space="preserve"> submit</w:t>
      </w:r>
      <w:r w:rsidRPr="00C762A3">
        <w:rPr>
          <w:rFonts w:eastAsia="Times New Roman" w:cstheme="minorHAnsi"/>
          <w:bCs/>
        </w:rPr>
        <w:t>ted</w:t>
      </w:r>
      <w:r w:rsidR="007527BF" w:rsidRPr="00C762A3">
        <w:rPr>
          <w:rFonts w:eastAsia="Times New Roman" w:cstheme="minorHAnsi"/>
          <w:bCs/>
        </w:rPr>
        <w:t xml:space="preserve"> a fully supported Business Case Analysis (</w:t>
      </w:r>
      <w:r w:rsidR="00BF6260">
        <w:rPr>
          <w:rFonts w:eastAsia="Times New Roman" w:cstheme="minorHAnsi"/>
          <w:bCs/>
        </w:rPr>
        <w:t>as subsequently amended or supplemented by additional documentation submitted by Supplier, is referred to as the “</w:t>
      </w:r>
      <w:r w:rsidR="007527BF" w:rsidRPr="00C762A3">
        <w:rPr>
          <w:rFonts w:eastAsia="Times New Roman" w:cstheme="minorHAnsi"/>
          <w:bCs/>
        </w:rPr>
        <w:t>BCA</w:t>
      </w:r>
      <w:r w:rsidR="00BF6260">
        <w:rPr>
          <w:rFonts w:eastAsia="Times New Roman" w:cstheme="minorHAnsi"/>
          <w:bCs/>
        </w:rPr>
        <w:t>”</w:t>
      </w:r>
      <w:r w:rsidR="007527BF" w:rsidRPr="00C762A3">
        <w:rPr>
          <w:rFonts w:eastAsia="Times New Roman" w:cstheme="minorHAnsi"/>
          <w:bCs/>
        </w:rPr>
        <w:t xml:space="preserve">) to </w:t>
      </w:r>
      <w:r w:rsidR="002D7690">
        <w:rPr>
          <w:rFonts w:eastAsia="Times New Roman" w:cstheme="minorHAnsi"/>
          <w:bCs/>
        </w:rPr>
        <w:t xml:space="preserve">Huntington Ingalls Incorporated, acting through its </w:t>
      </w:r>
      <w:r w:rsidR="007527BF" w:rsidRPr="00C762A3">
        <w:rPr>
          <w:rFonts w:eastAsia="Times New Roman" w:cstheme="minorHAnsi"/>
          <w:bCs/>
        </w:rPr>
        <w:t>Ingalls Shipbuilding</w:t>
      </w:r>
      <w:r w:rsidR="002D7690">
        <w:rPr>
          <w:rFonts w:eastAsia="Times New Roman" w:cstheme="minorHAnsi"/>
          <w:bCs/>
        </w:rPr>
        <w:t xml:space="preserve"> division</w:t>
      </w:r>
      <w:r w:rsidR="007527BF" w:rsidRPr="00C762A3">
        <w:rPr>
          <w:rFonts w:eastAsia="Times New Roman" w:cstheme="minorHAnsi"/>
          <w:bCs/>
        </w:rPr>
        <w:t xml:space="preserve"> (Ingalls).  The BCA include</w:t>
      </w:r>
      <w:r w:rsidRPr="00C762A3">
        <w:rPr>
          <w:rFonts w:eastAsia="Times New Roman" w:cstheme="minorHAnsi"/>
          <w:bCs/>
        </w:rPr>
        <w:t>s</w:t>
      </w:r>
      <w:r w:rsidR="007527BF" w:rsidRPr="00C762A3">
        <w:rPr>
          <w:rFonts w:eastAsia="Times New Roman" w:cstheme="minorHAnsi"/>
          <w:bCs/>
        </w:rPr>
        <w:t xml:space="preserve"> a description of the specific objectives to be achieved; description and rationale for the proposed approach; the benefits that address the concerns of the Supplier, </w:t>
      </w:r>
      <w:r w:rsidR="004E607A" w:rsidRPr="00C762A3">
        <w:rPr>
          <w:rFonts w:eastAsia="Times New Roman" w:cstheme="minorHAnsi"/>
          <w:bCs/>
        </w:rPr>
        <w:t>Ingalls</w:t>
      </w:r>
      <w:r w:rsidR="007527BF" w:rsidRPr="00C762A3">
        <w:rPr>
          <w:rFonts w:eastAsia="Times New Roman" w:cstheme="minorHAnsi"/>
          <w:bCs/>
        </w:rPr>
        <w:t xml:space="preserve"> and the Government; metrics for evaluation of investment benefits; a statement of investment risks and risk mitigation; a project framework and implementation timeframe; investment cost estimates; and the portion of the investment proposed to be funded by the Supplier.  </w:t>
      </w:r>
      <w:r w:rsidR="007527BF" w:rsidRPr="00C762A3">
        <w:rPr>
          <w:rFonts w:cstheme="minorHAnsi"/>
        </w:rPr>
        <w:t>The Supplier’s BCA describe</w:t>
      </w:r>
      <w:r w:rsidRPr="00C762A3">
        <w:rPr>
          <w:rFonts w:cstheme="minorHAnsi"/>
        </w:rPr>
        <w:t>d</w:t>
      </w:r>
      <w:r w:rsidR="007527BF" w:rsidRPr="00C762A3">
        <w:rPr>
          <w:rFonts w:cstheme="minorHAnsi"/>
        </w:rPr>
        <w:t xml:space="preserve"> the basis for all costs and project elements. </w:t>
      </w:r>
      <w:r w:rsidR="0088660A" w:rsidRPr="00C762A3">
        <w:rPr>
          <w:rFonts w:cstheme="minorHAnsi"/>
        </w:rPr>
        <w:t xml:space="preserve"> The BCA also includes the Supplier’s perspective net present value (NPV) of cost savings, schedule improvements, quality improvements, and/or security risk reductions calculations on future DDG 51s and any other Government ships that reflects consideration of the return on investment, share-line ratio, cost and/or schedule and/or risk reductions, and/or increased quality validated by expanded warranties in order to calculate actual benefit to the Government. </w:t>
      </w:r>
    </w:p>
    <w:p w14:paraId="74D6FE4B" w14:textId="0406BE6A" w:rsidR="007527BF" w:rsidRPr="00C762A3" w:rsidRDefault="00BD1DEB" w:rsidP="00BD1DEB">
      <w:pPr>
        <w:autoSpaceDE w:val="0"/>
        <w:autoSpaceDN w:val="0"/>
        <w:adjustRightInd w:val="0"/>
        <w:spacing w:after="0" w:line="240" w:lineRule="auto"/>
        <w:ind w:left="360" w:hanging="360"/>
        <w:rPr>
          <w:rFonts w:cstheme="minorHAnsi"/>
        </w:rPr>
      </w:pPr>
      <w:r w:rsidRPr="00C762A3">
        <w:rPr>
          <w:rFonts w:cstheme="minorHAnsi"/>
        </w:rPr>
        <w:t xml:space="preserve">2.  </w:t>
      </w:r>
      <w:r w:rsidRPr="00C762A3">
        <w:rPr>
          <w:rFonts w:cstheme="minorHAnsi"/>
        </w:rPr>
        <w:tab/>
      </w:r>
      <w:r w:rsidR="0088660A" w:rsidRPr="00C762A3">
        <w:rPr>
          <w:rFonts w:cstheme="minorHAnsi"/>
        </w:rPr>
        <w:t xml:space="preserve">The BCA was submitted to the Government to justify that the proposed costs are fair and reasonable, as compared to other projects, and was relied upon by Ingalls and the Government in approving the project.  </w:t>
      </w:r>
    </w:p>
    <w:p w14:paraId="76E66912" w14:textId="77777777" w:rsidR="007527BF" w:rsidRPr="00C762A3" w:rsidRDefault="007527BF" w:rsidP="00BD1DEB">
      <w:pPr>
        <w:autoSpaceDE w:val="0"/>
        <w:autoSpaceDN w:val="0"/>
        <w:adjustRightInd w:val="0"/>
        <w:spacing w:after="0" w:line="240" w:lineRule="auto"/>
        <w:ind w:left="360" w:hanging="360"/>
        <w:rPr>
          <w:rFonts w:cstheme="minorHAnsi"/>
        </w:rPr>
      </w:pPr>
    </w:p>
    <w:p w14:paraId="35B38B29" w14:textId="291CD30D" w:rsidR="007527BF" w:rsidRPr="00C762A3" w:rsidRDefault="00BD1DEB" w:rsidP="00BD1DEB">
      <w:pPr>
        <w:autoSpaceDE w:val="0"/>
        <w:autoSpaceDN w:val="0"/>
        <w:adjustRightInd w:val="0"/>
        <w:spacing w:after="0" w:line="240" w:lineRule="auto"/>
        <w:ind w:left="360" w:hanging="360"/>
        <w:rPr>
          <w:rFonts w:cstheme="minorHAnsi"/>
        </w:rPr>
      </w:pPr>
      <w:r w:rsidRPr="00C762A3">
        <w:rPr>
          <w:rFonts w:eastAsia="Times New Roman" w:cstheme="minorHAnsi"/>
          <w:bCs/>
        </w:rPr>
        <w:t xml:space="preserve">3.  </w:t>
      </w:r>
      <w:r w:rsidRPr="00C762A3">
        <w:rPr>
          <w:rFonts w:eastAsia="Times New Roman" w:cstheme="minorHAnsi"/>
          <w:bCs/>
        </w:rPr>
        <w:tab/>
        <w:t>The</w:t>
      </w:r>
      <w:r w:rsidR="007527BF" w:rsidRPr="00C762A3">
        <w:rPr>
          <w:rFonts w:eastAsia="Times New Roman" w:cstheme="minorHAnsi"/>
          <w:bCs/>
        </w:rPr>
        <w:t xml:space="preserve"> CAPEX Incentive for </w:t>
      </w:r>
      <w:r w:rsidR="0088660A" w:rsidRPr="00C762A3">
        <w:rPr>
          <w:rFonts w:eastAsia="Times New Roman" w:cstheme="minorHAnsi"/>
          <w:bCs/>
        </w:rPr>
        <w:t>the</w:t>
      </w:r>
      <w:r w:rsidR="007527BF" w:rsidRPr="00C762A3">
        <w:rPr>
          <w:rFonts w:eastAsia="Times New Roman" w:cstheme="minorHAnsi"/>
          <w:bCs/>
        </w:rPr>
        <w:t xml:space="preserve"> </w:t>
      </w:r>
      <w:r w:rsidR="0088660A" w:rsidRPr="00C762A3">
        <w:rPr>
          <w:rFonts w:eastAsia="Times New Roman" w:cstheme="minorHAnsi"/>
          <w:bCs/>
        </w:rPr>
        <w:t xml:space="preserve">approved </w:t>
      </w:r>
      <w:r w:rsidR="00C762A3" w:rsidRPr="00C762A3">
        <w:rPr>
          <w:rFonts w:eastAsia="Times New Roman" w:cstheme="minorHAnsi"/>
          <w:bCs/>
        </w:rPr>
        <w:t xml:space="preserve">project(s) </w:t>
      </w:r>
      <w:r w:rsidR="007527BF" w:rsidRPr="00C762A3">
        <w:rPr>
          <w:rFonts w:eastAsia="Times New Roman" w:cstheme="minorHAnsi"/>
          <w:bCs/>
        </w:rPr>
        <w:t xml:space="preserve">will be paid in accordance with the investment implementation timeframe included in the BCA.  </w:t>
      </w:r>
      <w:r w:rsidR="007527BF" w:rsidRPr="00C762A3">
        <w:rPr>
          <w:rFonts w:cstheme="minorHAnsi"/>
        </w:rPr>
        <w:t>CAPEX Incentive payments are subject to the availability of funds</w:t>
      </w:r>
      <w:r w:rsidR="0088660A" w:rsidRPr="00C762A3">
        <w:rPr>
          <w:rFonts w:cstheme="minorHAnsi"/>
        </w:rPr>
        <w:t xml:space="preserve"> for such projects under Ingalls’ prime contract</w:t>
      </w:r>
      <w:r w:rsidR="007527BF" w:rsidRPr="00C762A3">
        <w:rPr>
          <w:rFonts w:cstheme="minorHAnsi"/>
        </w:rPr>
        <w:t>.</w:t>
      </w:r>
    </w:p>
    <w:p w14:paraId="43EE7232" w14:textId="77777777" w:rsidR="007527BF" w:rsidRPr="00C762A3" w:rsidRDefault="007527BF" w:rsidP="007527BF">
      <w:pPr>
        <w:autoSpaceDE w:val="0"/>
        <w:autoSpaceDN w:val="0"/>
        <w:adjustRightInd w:val="0"/>
        <w:spacing w:after="0" w:line="240" w:lineRule="auto"/>
        <w:rPr>
          <w:rFonts w:cstheme="minorHAnsi"/>
        </w:rPr>
      </w:pPr>
    </w:p>
    <w:p w14:paraId="2D9FBAE3" w14:textId="7612143C" w:rsidR="007527BF" w:rsidRPr="00C762A3" w:rsidRDefault="007527BF" w:rsidP="00BD1DEB">
      <w:pPr>
        <w:pStyle w:val="ListParagraph"/>
        <w:numPr>
          <w:ilvl w:val="0"/>
          <w:numId w:val="15"/>
        </w:numPr>
        <w:autoSpaceDE w:val="0"/>
        <w:autoSpaceDN w:val="0"/>
        <w:adjustRightInd w:val="0"/>
        <w:spacing w:after="0" w:line="240" w:lineRule="auto"/>
        <w:ind w:hanging="405"/>
        <w:rPr>
          <w:rFonts w:cstheme="minorHAnsi"/>
        </w:rPr>
      </w:pPr>
      <w:r w:rsidRPr="00C762A3">
        <w:rPr>
          <w:rFonts w:cstheme="minorHAnsi"/>
        </w:rPr>
        <w:t>The parties agree that for the Supplier’s allowability of calculating depreciation expenses (FAR 31.205-11) and Facilities Capital Cost of Money (FCCM) (FAR 31.205-10) associated with the facilities and/or equipment acquired by the Supplier in accordance with this clause, shall be dependent on the cash flow assumptions submitted with the NPV calculations in the BCA. If the cash flow assumed that the depreciable basis of capitalized assets was not reduced by the special incentive before calculating allowable depreciation and FCCM in the NPV calculation, the full capitalized value of the facilities and/or equipment (without reduction for the special incentives) shall be utilized in the calculation of indirect rates. If the cash flow assumed that the depreciable basis of capitalized assets was reduced by the special incentive before calculating allowable depreciation and FCCM in the NPV calculation, the capitalized value of the facilities and/or equipment reduced by the special incentives for facilities and/or equipment shall be utilized in the calculation of indirect rates.</w:t>
      </w:r>
    </w:p>
    <w:p w14:paraId="63D15E52" w14:textId="77777777" w:rsidR="007527BF" w:rsidRPr="00C762A3" w:rsidRDefault="007527BF" w:rsidP="00BD1DEB">
      <w:pPr>
        <w:pStyle w:val="ListParagraph"/>
        <w:autoSpaceDE w:val="0"/>
        <w:autoSpaceDN w:val="0"/>
        <w:adjustRightInd w:val="0"/>
        <w:spacing w:after="0" w:line="240" w:lineRule="auto"/>
        <w:ind w:left="765" w:hanging="405"/>
        <w:rPr>
          <w:rFonts w:cstheme="minorHAnsi"/>
        </w:rPr>
      </w:pPr>
    </w:p>
    <w:p w14:paraId="721C510B" w14:textId="77777777" w:rsidR="007527BF" w:rsidRPr="00C762A3" w:rsidRDefault="007527BF" w:rsidP="00BD1DEB">
      <w:pPr>
        <w:pStyle w:val="ListParagraph"/>
        <w:numPr>
          <w:ilvl w:val="0"/>
          <w:numId w:val="15"/>
        </w:numPr>
        <w:autoSpaceDE w:val="0"/>
        <w:autoSpaceDN w:val="0"/>
        <w:adjustRightInd w:val="0"/>
        <w:spacing w:after="0" w:line="240" w:lineRule="auto"/>
        <w:ind w:hanging="405"/>
        <w:rPr>
          <w:rFonts w:cstheme="minorHAnsi"/>
        </w:rPr>
      </w:pPr>
      <w:r w:rsidRPr="00C762A3">
        <w:rPr>
          <w:rFonts w:cstheme="minorHAnsi"/>
        </w:rPr>
        <w:t xml:space="preserve">All projects for which Special Incentive for Supplier Investments in Facilities and Process Improvement Projects awarded to the Supplier shall be accounted for in accordance with the Supplier’s Cost Accounting Standards Board (CASB) disclosure statement. </w:t>
      </w:r>
    </w:p>
    <w:p w14:paraId="435E0A5B" w14:textId="77777777" w:rsidR="007527BF" w:rsidRPr="00C762A3" w:rsidRDefault="007527BF" w:rsidP="00BD1DEB">
      <w:pPr>
        <w:pStyle w:val="ListParagraph"/>
        <w:spacing w:line="240" w:lineRule="auto"/>
        <w:ind w:hanging="405"/>
        <w:rPr>
          <w:rFonts w:cstheme="minorHAnsi"/>
        </w:rPr>
      </w:pPr>
    </w:p>
    <w:p w14:paraId="09C02C8A" w14:textId="365017C4" w:rsidR="007527BF" w:rsidRPr="002D7690" w:rsidRDefault="007527BF" w:rsidP="00E576B0">
      <w:pPr>
        <w:pStyle w:val="ListParagraph"/>
        <w:numPr>
          <w:ilvl w:val="0"/>
          <w:numId w:val="15"/>
        </w:numPr>
        <w:autoSpaceDE w:val="0"/>
        <w:autoSpaceDN w:val="0"/>
        <w:adjustRightInd w:val="0"/>
        <w:spacing w:after="0" w:line="240" w:lineRule="auto"/>
        <w:ind w:hanging="405"/>
        <w:rPr>
          <w:rFonts w:cstheme="minorHAnsi"/>
        </w:rPr>
      </w:pPr>
      <w:r w:rsidRPr="002D7690">
        <w:rPr>
          <w:rFonts w:cstheme="minorHAnsi"/>
        </w:rPr>
        <w:t xml:space="preserve">Notwithstanding any other clause of </w:t>
      </w:r>
      <w:r w:rsidR="00BD1DEB" w:rsidRPr="002D7690">
        <w:rPr>
          <w:rFonts w:cstheme="minorHAnsi"/>
        </w:rPr>
        <w:t>this Order</w:t>
      </w:r>
      <w:r w:rsidRPr="002D7690">
        <w:rPr>
          <w:rFonts w:cstheme="minorHAnsi"/>
        </w:rPr>
        <w:t>, if, in her/his sole discretion, the Government Contracting Officer determines that any Government</w:t>
      </w:r>
      <w:r w:rsidR="00BD1DEB" w:rsidRPr="002D7690">
        <w:rPr>
          <w:rFonts w:cstheme="minorHAnsi"/>
        </w:rPr>
        <w:t>-</w:t>
      </w:r>
      <w:r w:rsidRPr="002D7690">
        <w:rPr>
          <w:rFonts w:cstheme="minorHAnsi"/>
        </w:rPr>
        <w:t>approved Surface Combatant Industrial Base (SCIB) Supplier project significantly fails to meet the BCA savings or capitalization estimates, or fails to make progress in project execution, therein contained, the Contracting Officer may unilaterally withhold future milestone payments from the Supplier under the project</w:t>
      </w:r>
      <w:r w:rsidR="007D18F7">
        <w:rPr>
          <w:rFonts w:cstheme="minorHAnsi"/>
        </w:rPr>
        <w:t xml:space="preserve"> and/or recover from Supplier (via Ingalls) all or any portion of any CAPEX Incentive payments paid to Supplier; following such Government Contracting Officer determination that any Seller repayment is required, Ingalls shall provide written notice thereof to </w:t>
      </w:r>
      <w:r w:rsidR="007D18F7">
        <w:rPr>
          <w:rFonts w:cstheme="minorHAnsi"/>
        </w:rPr>
        <w:lastRenderedPageBreak/>
        <w:t xml:space="preserve">Supplier, who shall repay such funds to Ingalls within 30 days of receipt of such notice. </w:t>
      </w:r>
      <w:r w:rsidR="002D7690">
        <w:rPr>
          <w:rFonts w:cstheme="minorHAnsi"/>
        </w:rPr>
        <w:t xml:space="preserve">INGALLS </w:t>
      </w:r>
      <w:r w:rsidR="002D7690" w:rsidRPr="002D7690">
        <w:rPr>
          <w:rFonts w:cstheme="minorHAnsi"/>
        </w:rPr>
        <w:t>SHALL HAVE NO LIABILITY TO S</w:t>
      </w:r>
      <w:r w:rsidR="00694080">
        <w:rPr>
          <w:rFonts w:cstheme="minorHAnsi"/>
        </w:rPr>
        <w:t>UPPLI</w:t>
      </w:r>
      <w:r w:rsidR="002D7690" w:rsidRPr="002D7690">
        <w:rPr>
          <w:rFonts w:cstheme="minorHAnsi"/>
        </w:rPr>
        <w:t>ER FOR ANY SUCH</w:t>
      </w:r>
      <w:r w:rsidR="002D7690">
        <w:rPr>
          <w:rFonts w:cstheme="minorHAnsi"/>
        </w:rPr>
        <w:t xml:space="preserve"> </w:t>
      </w:r>
      <w:r w:rsidR="002D7690" w:rsidRPr="002D7690">
        <w:rPr>
          <w:rFonts w:cstheme="minorHAnsi"/>
        </w:rPr>
        <w:t>GOVERNMENT ACTION</w:t>
      </w:r>
      <w:r w:rsidR="002D7690">
        <w:rPr>
          <w:rFonts w:cstheme="minorHAnsi"/>
        </w:rPr>
        <w:t>.</w:t>
      </w:r>
    </w:p>
    <w:p w14:paraId="2C7957B1" w14:textId="77777777" w:rsidR="007527BF" w:rsidRPr="00C762A3" w:rsidRDefault="007527BF" w:rsidP="00BD1DEB">
      <w:pPr>
        <w:pStyle w:val="ListParagraph"/>
        <w:spacing w:line="240" w:lineRule="auto"/>
        <w:ind w:hanging="405"/>
        <w:rPr>
          <w:rFonts w:cstheme="minorHAnsi"/>
        </w:rPr>
      </w:pPr>
    </w:p>
    <w:p w14:paraId="4625E58F" w14:textId="2E9F394F" w:rsidR="007527BF" w:rsidRPr="00C762A3" w:rsidRDefault="007527BF" w:rsidP="00BD1DEB">
      <w:pPr>
        <w:pStyle w:val="ListParagraph"/>
        <w:numPr>
          <w:ilvl w:val="0"/>
          <w:numId w:val="15"/>
        </w:numPr>
        <w:autoSpaceDE w:val="0"/>
        <w:autoSpaceDN w:val="0"/>
        <w:adjustRightInd w:val="0"/>
        <w:spacing w:after="0" w:line="240" w:lineRule="auto"/>
        <w:ind w:hanging="405"/>
        <w:rPr>
          <w:rFonts w:cstheme="minorHAnsi"/>
        </w:rPr>
      </w:pPr>
      <w:r w:rsidRPr="00C762A3">
        <w:rPr>
          <w:rFonts w:cstheme="minorHAnsi"/>
        </w:rPr>
        <w:t xml:space="preserve">The parties acknowledge that they have relied upon the approved BCA and the facilities/project investment evaluation model provided by the Supplier </w:t>
      </w:r>
      <w:r w:rsidR="004E607A" w:rsidRPr="00C762A3">
        <w:rPr>
          <w:rFonts w:cstheme="minorHAnsi"/>
        </w:rPr>
        <w:t xml:space="preserve">to </w:t>
      </w:r>
      <w:r w:rsidRPr="00C762A3">
        <w:rPr>
          <w:rFonts w:cstheme="minorHAnsi"/>
        </w:rPr>
        <w:t xml:space="preserve">the Government in establishing the amount of the CAPEX Incentive available under this </w:t>
      </w:r>
      <w:r w:rsidR="004E607A" w:rsidRPr="00C762A3">
        <w:rPr>
          <w:rFonts w:cstheme="minorHAnsi"/>
        </w:rPr>
        <w:t>provision</w:t>
      </w:r>
      <w:r w:rsidRPr="00C762A3">
        <w:rPr>
          <w:rFonts w:cstheme="minorHAnsi"/>
        </w:rPr>
        <w:t xml:space="preserve">. In the event that either the Government or </w:t>
      </w:r>
      <w:r w:rsidR="004E607A" w:rsidRPr="00C762A3">
        <w:rPr>
          <w:rFonts w:cstheme="minorHAnsi"/>
        </w:rPr>
        <w:t xml:space="preserve">Ingalls </w:t>
      </w:r>
      <w:r w:rsidRPr="00C762A3">
        <w:rPr>
          <w:rFonts w:cstheme="minorHAnsi"/>
        </w:rPr>
        <w:t>or Supplier discover a formula or computational error in such model that would result in an overpayment of CAPEX Incentive to the Supplier, the discovering party shall provide prompt written notice to the others, and the parties shall endeavor in good faith to negotiate the appropriate corrections to the BCA. The Supplier shall promptly refund to the Government any overpayment of CAPEX Incentive resulting from such modification.</w:t>
      </w:r>
    </w:p>
    <w:p w14:paraId="36E48AFF" w14:textId="77777777" w:rsidR="007527BF" w:rsidRPr="00C762A3" w:rsidRDefault="007527BF" w:rsidP="00BD1DEB">
      <w:pPr>
        <w:pStyle w:val="ListParagraph"/>
        <w:spacing w:line="240" w:lineRule="auto"/>
        <w:ind w:hanging="405"/>
        <w:rPr>
          <w:rFonts w:cstheme="minorHAnsi"/>
        </w:rPr>
      </w:pPr>
    </w:p>
    <w:p w14:paraId="07D5BB10" w14:textId="6AB3B392" w:rsidR="00E576B0" w:rsidRDefault="007D18F7" w:rsidP="007D18F7">
      <w:pPr>
        <w:pStyle w:val="ListParagraph"/>
        <w:numPr>
          <w:ilvl w:val="0"/>
          <w:numId w:val="20"/>
        </w:numPr>
        <w:tabs>
          <w:tab w:val="left" w:pos="360"/>
          <w:tab w:val="left" w:pos="720"/>
        </w:tabs>
        <w:autoSpaceDE w:val="0"/>
        <w:autoSpaceDN w:val="0"/>
        <w:adjustRightInd w:val="0"/>
        <w:spacing w:after="0" w:line="240" w:lineRule="auto"/>
        <w:ind w:left="720" w:hanging="720"/>
        <w:rPr>
          <w:rFonts w:cstheme="minorHAnsi"/>
        </w:rPr>
      </w:pPr>
      <w:r w:rsidRPr="007D18F7" w:rsidDel="007D18F7">
        <w:rPr>
          <w:rFonts w:cstheme="minorHAnsi"/>
          <w:vanish/>
        </w:rPr>
        <w:t xml:space="preserve"> </w:t>
      </w:r>
      <w:r w:rsidR="00E576B0">
        <w:rPr>
          <w:rFonts w:cstheme="minorHAnsi"/>
        </w:rPr>
        <w:t>(i)</w:t>
      </w:r>
      <w:r w:rsidR="00E576B0">
        <w:rPr>
          <w:rFonts w:cstheme="minorHAnsi"/>
        </w:rPr>
        <w:tab/>
      </w:r>
      <w:r w:rsidR="007527BF" w:rsidRPr="00E576B0">
        <w:rPr>
          <w:rFonts w:cstheme="minorHAnsi"/>
        </w:rPr>
        <w:t xml:space="preserve">The Supplier will be paid the CAPEX incentive amount(s) earned upon submittal of proper invoices to </w:t>
      </w:r>
      <w:r w:rsidR="004E607A" w:rsidRPr="00E576B0">
        <w:rPr>
          <w:rFonts w:cstheme="minorHAnsi"/>
        </w:rPr>
        <w:t>Ingalls</w:t>
      </w:r>
      <w:r w:rsidR="007527BF" w:rsidRPr="00E576B0">
        <w:rPr>
          <w:rFonts w:cstheme="minorHAnsi"/>
        </w:rPr>
        <w:t xml:space="preserve">. The Supplier shall not submit an invoice for funding until </w:t>
      </w:r>
      <w:r w:rsidR="004E607A" w:rsidRPr="00E576B0">
        <w:rPr>
          <w:rFonts w:cstheme="minorHAnsi"/>
        </w:rPr>
        <w:t>Ingalls</w:t>
      </w:r>
      <w:r w:rsidR="007527BF" w:rsidRPr="00E576B0">
        <w:rPr>
          <w:rFonts w:cstheme="minorHAnsi"/>
        </w:rPr>
        <w:t xml:space="preserve"> and </w:t>
      </w:r>
      <w:r w:rsidR="004E607A" w:rsidRPr="00E576B0">
        <w:rPr>
          <w:rFonts w:cstheme="minorHAnsi"/>
        </w:rPr>
        <w:t xml:space="preserve">the </w:t>
      </w:r>
      <w:r w:rsidR="007527BF" w:rsidRPr="00E576B0">
        <w:rPr>
          <w:rFonts w:cstheme="minorHAnsi"/>
        </w:rPr>
        <w:t xml:space="preserve">Government Contracting Officer have reviewed objective quality evidence that the incentive milestone was accomplished and reviewed, and until </w:t>
      </w:r>
      <w:r w:rsidR="004E607A" w:rsidRPr="00E576B0">
        <w:rPr>
          <w:rFonts w:cstheme="minorHAnsi"/>
        </w:rPr>
        <w:t>Ingalls</w:t>
      </w:r>
      <w:r w:rsidR="007527BF" w:rsidRPr="00E576B0">
        <w:rPr>
          <w:rFonts w:cstheme="minorHAnsi"/>
        </w:rPr>
        <w:t xml:space="preserve"> and </w:t>
      </w:r>
      <w:r w:rsidR="004E607A" w:rsidRPr="00E576B0">
        <w:rPr>
          <w:rFonts w:cstheme="minorHAnsi"/>
        </w:rPr>
        <w:t xml:space="preserve">the </w:t>
      </w:r>
      <w:r w:rsidR="007527BF" w:rsidRPr="00E576B0">
        <w:rPr>
          <w:rFonts w:cstheme="minorHAnsi"/>
        </w:rPr>
        <w:t xml:space="preserve">Contracting Officer have provided their concurrence. The Supplier’s invoice shall attach the Government Contracting Officer’s written concurrence via email that the </w:t>
      </w:r>
      <w:r w:rsidR="00C762A3" w:rsidRPr="00E576B0">
        <w:rPr>
          <w:rFonts w:cstheme="minorHAnsi"/>
        </w:rPr>
        <w:t>S</w:t>
      </w:r>
      <w:r w:rsidR="007527BF" w:rsidRPr="00E576B0">
        <w:rPr>
          <w:rFonts w:cstheme="minorHAnsi"/>
        </w:rPr>
        <w:t xml:space="preserve">upplier earned the claimed amount of CAPEX Milestone Incentive. The </w:t>
      </w:r>
      <w:r w:rsidR="00C762A3" w:rsidRPr="00E576B0">
        <w:rPr>
          <w:rFonts w:cstheme="minorHAnsi"/>
        </w:rPr>
        <w:t>S</w:t>
      </w:r>
      <w:r w:rsidR="007527BF" w:rsidRPr="00E576B0">
        <w:rPr>
          <w:rFonts w:cstheme="minorHAnsi"/>
        </w:rPr>
        <w:t xml:space="preserve">upplier’s invoice must cite the appropriate CLIN and accounting data </w:t>
      </w:r>
      <w:r w:rsidR="004E607A" w:rsidRPr="00E576B0">
        <w:rPr>
          <w:rFonts w:cstheme="minorHAnsi"/>
        </w:rPr>
        <w:t xml:space="preserve">(which can be obtained from Ingalls) </w:t>
      </w:r>
      <w:r w:rsidR="007527BF" w:rsidRPr="00E576B0">
        <w:rPr>
          <w:rFonts w:cstheme="minorHAnsi"/>
        </w:rPr>
        <w:t>in order for payment to be effected.</w:t>
      </w:r>
      <w:r w:rsidR="002D7690" w:rsidRPr="00E576B0">
        <w:rPr>
          <w:rFonts w:cstheme="minorHAnsi"/>
        </w:rPr>
        <w:t xml:space="preserve">  </w:t>
      </w:r>
    </w:p>
    <w:p w14:paraId="360698F8" w14:textId="3B1D1DBD" w:rsidR="002D7690" w:rsidRPr="00E576B0" w:rsidRDefault="00E576B0" w:rsidP="00E576B0">
      <w:pPr>
        <w:autoSpaceDE w:val="0"/>
        <w:autoSpaceDN w:val="0"/>
        <w:adjustRightInd w:val="0"/>
        <w:spacing w:after="0" w:line="240" w:lineRule="auto"/>
        <w:ind w:firstLine="360"/>
        <w:rPr>
          <w:rFonts w:cstheme="minorHAnsi"/>
        </w:rPr>
      </w:pPr>
      <w:r w:rsidRPr="00E576B0">
        <w:rPr>
          <w:rFonts w:cstheme="minorHAnsi"/>
        </w:rPr>
        <w:t>(ii)</w:t>
      </w:r>
      <w:r w:rsidRPr="00E576B0">
        <w:rPr>
          <w:rFonts w:cstheme="minorHAnsi"/>
        </w:rPr>
        <w:tab/>
      </w:r>
      <w:r w:rsidR="002D7690" w:rsidRPr="00E576B0">
        <w:rPr>
          <w:rFonts w:cstheme="minorHAnsi"/>
          <w:u w:val="single"/>
        </w:rPr>
        <w:t>In addition to the above</w:t>
      </w:r>
      <w:r w:rsidR="002D7690" w:rsidRPr="00E576B0">
        <w:rPr>
          <w:rFonts w:cstheme="minorHAnsi"/>
        </w:rPr>
        <w:t>, an invoice must include (as applicable):</w:t>
      </w:r>
    </w:p>
    <w:p w14:paraId="36272C93" w14:textId="303B369F" w:rsidR="002D7690" w:rsidRPr="002D7690" w:rsidRDefault="002D7690" w:rsidP="002D7690">
      <w:pPr>
        <w:pStyle w:val="ListParagraph"/>
        <w:autoSpaceDE w:val="0"/>
        <w:autoSpaceDN w:val="0"/>
        <w:adjustRightInd w:val="0"/>
        <w:spacing w:after="0" w:line="240" w:lineRule="auto"/>
        <w:ind w:left="1125"/>
        <w:rPr>
          <w:rFonts w:cstheme="minorHAnsi"/>
        </w:rPr>
      </w:pPr>
      <w:r w:rsidRPr="002D7690">
        <w:rPr>
          <w:rFonts w:cstheme="minorHAnsi"/>
        </w:rPr>
        <w:t>1) invoice date and S</w:t>
      </w:r>
      <w:r w:rsidR="00694080">
        <w:rPr>
          <w:rFonts w:cstheme="minorHAnsi"/>
        </w:rPr>
        <w:t>upplie</w:t>
      </w:r>
      <w:r w:rsidRPr="002D7690">
        <w:rPr>
          <w:rFonts w:cstheme="minorHAnsi"/>
        </w:rPr>
        <w:t>r’s invoice number;</w:t>
      </w:r>
    </w:p>
    <w:p w14:paraId="17E5CC03" w14:textId="381C29ED" w:rsidR="002D7690" w:rsidRPr="002D7690" w:rsidRDefault="002D7690" w:rsidP="002D7690">
      <w:pPr>
        <w:pStyle w:val="ListParagraph"/>
        <w:autoSpaceDE w:val="0"/>
        <w:autoSpaceDN w:val="0"/>
        <w:adjustRightInd w:val="0"/>
        <w:spacing w:after="0" w:line="240" w:lineRule="auto"/>
        <w:ind w:left="1125"/>
        <w:rPr>
          <w:rFonts w:cstheme="minorHAnsi"/>
        </w:rPr>
      </w:pPr>
      <w:r w:rsidRPr="002D7690">
        <w:rPr>
          <w:rFonts w:cstheme="minorHAnsi"/>
        </w:rPr>
        <w:t xml:space="preserve">2) name of </w:t>
      </w:r>
      <w:r w:rsidR="00694080">
        <w:rPr>
          <w:rFonts w:cstheme="minorHAnsi"/>
        </w:rPr>
        <w:t>Supplier</w:t>
      </w:r>
      <w:r w:rsidRPr="002D7690">
        <w:rPr>
          <w:rFonts w:cstheme="minorHAnsi"/>
        </w:rPr>
        <w:t>;</w:t>
      </w:r>
    </w:p>
    <w:p w14:paraId="65D042F0" w14:textId="77777777" w:rsidR="002D7690" w:rsidRPr="002D7690" w:rsidRDefault="002D7690" w:rsidP="002D7690">
      <w:pPr>
        <w:pStyle w:val="ListParagraph"/>
        <w:autoSpaceDE w:val="0"/>
        <w:autoSpaceDN w:val="0"/>
        <w:adjustRightInd w:val="0"/>
        <w:spacing w:after="0" w:line="240" w:lineRule="auto"/>
        <w:ind w:left="1125"/>
        <w:rPr>
          <w:rFonts w:cstheme="minorHAnsi"/>
        </w:rPr>
      </w:pPr>
      <w:r w:rsidRPr="002D7690">
        <w:rPr>
          <w:rFonts w:cstheme="minorHAnsi"/>
        </w:rPr>
        <w:t>3) the P.O. number, line item number, description and amount of milestone claimed;</w:t>
      </w:r>
    </w:p>
    <w:p w14:paraId="01A4E5B5" w14:textId="4BF909C3" w:rsidR="002D7690" w:rsidRPr="002D7690" w:rsidRDefault="002D7690" w:rsidP="002D7690">
      <w:pPr>
        <w:pStyle w:val="ListParagraph"/>
        <w:autoSpaceDE w:val="0"/>
        <w:autoSpaceDN w:val="0"/>
        <w:adjustRightInd w:val="0"/>
        <w:spacing w:after="0" w:line="240" w:lineRule="auto"/>
        <w:ind w:left="1125"/>
        <w:rPr>
          <w:rFonts w:cstheme="minorHAnsi"/>
        </w:rPr>
      </w:pPr>
      <w:r w:rsidRPr="002D7690">
        <w:rPr>
          <w:rFonts w:cstheme="minorHAnsi"/>
        </w:rPr>
        <w:t>4) name and address to which payment is to be sent;</w:t>
      </w:r>
    </w:p>
    <w:p w14:paraId="2E0CEF2D" w14:textId="77777777" w:rsidR="002D7690" w:rsidRPr="002D7690" w:rsidRDefault="002D7690" w:rsidP="002D7690">
      <w:pPr>
        <w:pStyle w:val="ListParagraph"/>
        <w:autoSpaceDE w:val="0"/>
        <w:autoSpaceDN w:val="0"/>
        <w:adjustRightInd w:val="0"/>
        <w:spacing w:after="0" w:line="240" w:lineRule="auto"/>
        <w:ind w:left="1125"/>
        <w:rPr>
          <w:rFonts w:cstheme="minorHAnsi"/>
        </w:rPr>
      </w:pPr>
      <w:r w:rsidRPr="002D7690">
        <w:rPr>
          <w:rFonts w:cstheme="minorHAnsi"/>
        </w:rPr>
        <w:t>5) name, title, phone number and address of person to be notified in the event of a defective invoice;</w:t>
      </w:r>
    </w:p>
    <w:p w14:paraId="41406173" w14:textId="0DB209EB" w:rsidR="002D7690" w:rsidRPr="002D7690" w:rsidRDefault="002D7690" w:rsidP="002D7690">
      <w:pPr>
        <w:pStyle w:val="ListParagraph"/>
        <w:autoSpaceDE w:val="0"/>
        <w:autoSpaceDN w:val="0"/>
        <w:adjustRightInd w:val="0"/>
        <w:spacing w:after="0" w:line="240" w:lineRule="auto"/>
        <w:ind w:left="1125"/>
        <w:rPr>
          <w:rFonts w:cstheme="minorHAnsi"/>
        </w:rPr>
      </w:pPr>
      <w:r w:rsidRPr="002D7690">
        <w:rPr>
          <w:rFonts w:cstheme="minorHAnsi"/>
        </w:rPr>
        <w:t xml:space="preserve">6) any other information or documentation required by other provisions </w:t>
      </w:r>
      <w:r>
        <w:rPr>
          <w:rFonts w:cstheme="minorHAnsi"/>
        </w:rPr>
        <w:t>this Order</w:t>
      </w:r>
      <w:r w:rsidRPr="002D7690">
        <w:rPr>
          <w:rFonts w:cstheme="minorHAnsi"/>
        </w:rPr>
        <w:t>;</w:t>
      </w:r>
      <w:r>
        <w:rPr>
          <w:rFonts w:cstheme="minorHAnsi"/>
        </w:rPr>
        <w:t xml:space="preserve"> and</w:t>
      </w:r>
    </w:p>
    <w:p w14:paraId="0B529BE4" w14:textId="332104E4" w:rsidR="002D7690" w:rsidRPr="002D7690" w:rsidRDefault="00E576B0" w:rsidP="00E576B0">
      <w:pPr>
        <w:pStyle w:val="ListParagraph"/>
        <w:autoSpaceDE w:val="0"/>
        <w:autoSpaceDN w:val="0"/>
        <w:adjustRightInd w:val="0"/>
        <w:spacing w:after="0" w:line="240" w:lineRule="auto"/>
        <w:ind w:left="1125"/>
        <w:rPr>
          <w:rFonts w:cstheme="minorHAnsi"/>
        </w:rPr>
      </w:pPr>
      <w:r>
        <w:rPr>
          <w:rFonts w:cstheme="minorHAnsi"/>
        </w:rPr>
        <w:t>7</w:t>
      </w:r>
      <w:r w:rsidR="002D7690" w:rsidRPr="002D7690">
        <w:rPr>
          <w:rFonts w:cstheme="minorHAnsi"/>
        </w:rPr>
        <w:t>) The invoice amounts for individual milestones shall be shown separately on any invoice.</w:t>
      </w:r>
    </w:p>
    <w:p w14:paraId="7B332775" w14:textId="1B6E3910" w:rsidR="002D7690" w:rsidRPr="00E576B0" w:rsidRDefault="00E576B0" w:rsidP="00863741">
      <w:pPr>
        <w:autoSpaceDE w:val="0"/>
        <w:autoSpaceDN w:val="0"/>
        <w:adjustRightInd w:val="0"/>
        <w:spacing w:after="0" w:line="240" w:lineRule="auto"/>
        <w:ind w:left="720" w:hanging="360"/>
        <w:rPr>
          <w:rFonts w:cstheme="minorHAnsi"/>
        </w:rPr>
      </w:pPr>
      <w:r>
        <w:rPr>
          <w:rFonts w:cstheme="minorHAnsi"/>
        </w:rPr>
        <w:t>(iii)</w:t>
      </w:r>
      <w:r>
        <w:rPr>
          <w:rFonts w:cstheme="minorHAnsi"/>
        </w:rPr>
        <w:tab/>
      </w:r>
      <w:r w:rsidR="002D7690" w:rsidRPr="00E576B0">
        <w:rPr>
          <w:rFonts w:cstheme="minorHAnsi"/>
        </w:rPr>
        <w:t xml:space="preserve">Invoices shall be prepared and submitted via e-mail to </w:t>
      </w:r>
      <w:r w:rsidR="009C1F0E">
        <w:rPr>
          <w:rFonts w:cstheme="minorHAnsi"/>
        </w:rPr>
        <w:t>Buyer’s authorized purchasing repr</w:t>
      </w:r>
      <w:r w:rsidR="00863741">
        <w:rPr>
          <w:rFonts w:cstheme="minorHAnsi"/>
        </w:rPr>
        <w:t>esentative as listed on this Order</w:t>
      </w:r>
      <w:r w:rsidR="002D7690" w:rsidRPr="00E576B0">
        <w:rPr>
          <w:rFonts w:cstheme="minorHAnsi"/>
        </w:rPr>
        <w:t>.</w:t>
      </w:r>
    </w:p>
    <w:p w14:paraId="51646C94" w14:textId="77777777" w:rsidR="00E576B0" w:rsidRDefault="00E576B0" w:rsidP="00E576B0">
      <w:pPr>
        <w:autoSpaceDE w:val="0"/>
        <w:autoSpaceDN w:val="0"/>
        <w:adjustRightInd w:val="0"/>
        <w:spacing w:after="0" w:line="240" w:lineRule="auto"/>
        <w:ind w:firstLine="360"/>
        <w:rPr>
          <w:rFonts w:cstheme="minorHAnsi"/>
        </w:rPr>
      </w:pPr>
      <w:r>
        <w:rPr>
          <w:rFonts w:cstheme="minorHAnsi"/>
        </w:rPr>
        <w:t>(iv)</w:t>
      </w:r>
      <w:r>
        <w:rPr>
          <w:rFonts w:cstheme="minorHAnsi"/>
        </w:rPr>
        <w:tab/>
        <w:t>Payments.</w:t>
      </w:r>
    </w:p>
    <w:p w14:paraId="5A1165EB" w14:textId="132A7110" w:rsidR="002D7690" w:rsidRDefault="00E576B0" w:rsidP="00E576B0">
      <w:pPr>
        <w:autoSpaceDE w:val="0"/>
        <w:autoSpaceDN w:val="0"/>
        <w:adjustRightInd w:val="0"/>
        <w:spacing w:after="0" w:line="240" w:lineRule="auto"/>
        <w:ind w:left="1080" w:hanging="360"/>
        <w:rPr>
          <w:rFonts w:cstheme="minorHAnsi"/>
        </w:rPr>
      </w:pPr>
      <w:r>
        <w:rPr>
          <w:rFonts w:cstheme="minorHAnsi"/>
        </w:rPr>
        <w:t>a.</w:t>
      </w:r>
      <w:r>
        <w:rPr>
          <w:rFonts w:cstheme="minorHAnsi"/>
        </w:rPr>
        <w:tab/>
        <w:t>Ingalls</w:t>
      </w:r>
      <w:r w:rsidR="002D7690" w:rsidRPr="00E576B0">
        <w:rPr>
          <w:rFonts w:cstheme="minorHAnsi"/>
        </w:rPr>
        <w:t xml:space="preserve"> shall pay Seller, upon the submission of valid invoices, the prices stipulated in this </w:t>
      </w:r>
      <w:r>
        <w:rPr>
          <w:rFonts w:cstheme="minorHAnsi"/>
        </w:rPr>
        <w:t>Order</w:t>
      </w:r>
      <w:r w:rsidR="002D7690" w:rsidRPr="00E576B0">
        <w:rPr>
          <w:rFonts w:cstheme="minorHAnsi"/>
        </w:rPr>
        <w:t xml:space="preserve"> AS MAY BE ADJUSTED BY THE CONTRACTING OFFICER</w:t>
      </w:r>
      <w:r w:rsidR="00694080">
        <w:rPr>
          <w:rFonts w:cstheme="minorHAnsi"/>
        </w:rPr>
        <w:t>.</w:t>
      </w:r>
    </w:p>
    <w:p w14:paraId="5B7ED2D2" w14:textId="010B0FC8" w:rsidR="00E576B0" w:rsidRPr="00E576B0" w:rsidRDefault="00E576B0" w:rsidP="00E576B0">
      <w:pPr>
        <w:autoSpaceDE w:val="0"/>
        <w:autoSpaceDN w:val="0"/>
        <w:adjustRightInd w:val="0"/>
        <w:spacing w:after="0" w:line="240" w:lineRule="auto"/>
        <w:ind w:left="1080" w:hanging="360"/>
        <w:rPr>
          <w:rFonts w:cstheme="minorHAnsi"/>
        </w:rPr>
      </w:pPr>
      <w:r>
        <w:rPr>
          <w:rFonts w:cstheme="minorHAnsi"/>
        </w:rPr>
        <w:t>b.</w:t>
      </w:r>
      <w:r>
        <w:rPr>
          <w:rFonts w:cstheme="minorHAnsi"/>
        </w:rPr>
        <w:tab/>
      </w:r>
      <w:r w:rsidRPr="00E576B0">
        <w:rPr>
          <w:rFonts w:cstheme="minorHAnsi"/>
        </w:rPr>
        <w:t>S</w:t>
      </w:r>
      <w:r w:rsidR="00694080">
        <w:rPr>
          <w:rFonts w:cstheme="minorHAnsi"/>
        </w:rPr>
        <w:t>upplier</w:t>
      </w:r>
      <w:r w:rsidRPr="00E576B0">
        <w:rPr>
          <w:rFonts w:cstheme="minorHAnsi"/>
        </w:rPr>
        <w:t xml:space="preserve">'s valid invoices are payable by </w:t>
      </w:r>
      <w:r>
        <w:rPr>
          <w:rFonts w:cstheme="minorHAnsi"/>
        </w:rPr>
        <w:t>Ingalls</w:t>
      </w:r>
      <w:r w:rsidRPr="00E576B0">
        <w:rPr>
          <w:rFonts w:cstheme="minorHAnsi"/>
        </w:rPr>
        <w:t xml:space="preserve"> no later than sixty (60) calendar days after receipt thereof, SUBJECT TO CONTRACTING OFFICER APPROVAL AND AVAILABILITY OF FUNDS. The invoice will be deemed to have been received five (5) days after the invoice date.</w:t>
      </w:r>
    </w:p>
    <w:p w14:paraId="2B6AAD40" w14:textId="4C85EC33" w:rsidR="00E576B0" w:rsidRPr="00E576B0" w:rsidRDefault="00E576B0" w:rsidP="00E576B0">
      <w:pPr>
        <w:autoSpaceDE w:val="0"/>
        <w:autoSpaceDN w:val="0"/>
        <w:adjustRightInd w:val="0"/>
        <w:spacing w:after="0" w:line="240" w:lineRule="auto"/>
        <w:ind w:left="1080" w:hanging="360"/>
        <w:rPr>
          <w:rFonts w:cstheme="minorHAnsi"/>
        </w:rPr>
      </w:pPr>
      <w:r>
        <w:rPr>
          <w:rFonts w:cstheme="minorHAnsi"/>
        </w:rPr>
        <w:t>c.</w:t>
      </w:r>
      <w:r>
        <w:rPr>
          <w:rFonts w:cstheme="minorHAnsi"/>
        </w:rPr>
        <w:tab/>
      </w:r>
      <w:r w:rsidRPr="00E576B0">
        <w:rPr>
          <w:rFonts w:cstheme="minorHAnsi"/>
        </w:rPr>
        <w:t xml:space="preserve">Payment shall be considered to have been made on the date </w:t>
      </w:r>
      <w:r w:rsidR="00694080">
        <w:rPr>
          <w:rFonts w:cstheme="minorHAnsi"/>
        </w:rPr>
        <w:t>that</w:t>
      </w:r>
      <w:r w:rsidRPr="00E576B0">
        <w:rPr>
          <w:rFonts w:cstheme="minorHAnsi"/>
        </w:rPr>
        <w:t xml:space="preserve"> appears on the payment check.</w:t>
      </w:r>
    </w:p>
    <w:p w14:paraId="33FFBCC2" w14:textId="5BE53914" w:rsidR="00E576B0" w:rsidRDefault="00E576B0" w:rsidP="00E576B0">
      <w:pPr>
        <w:autoSpaceDE w:val="0"/>
        <w:autoSpaceDN w:val="0"/>
        <w:adjustRightInd w:val="0"/>
        <w:spacing w:after="0" w:line="240" w:lineRule="auto"/>
        <w:ind w:left="1080" w:hanging="360"/>
        <w:rPr>
          <w:rFonts w:cstheme="minorHAnsi"/>
        </w:rPr>
      </w:pPr>
      <w:r>
        <w:rPr>
          <w:rFonts w:cstheme="minorHAnsi"/>
        </w:rPr>
        <w:t>d.</w:t>
      </w:r>
      <w:r>
        <w:rPr>
          <w:rFonts w:cstheme="minorHAnsi"/>
        </w:rPr>
        <w:tab/>
      </w:r>
      <w:r w:rsidRPr="00E576B0">
        <w:rPr>
          <w:rFonts w:cstheme="minorHAnsi"/>
        </w:rPr>
        <w:t>Payment shall not be considered as an indicat</w:t>
      </w:r>
      <w:r>
        <w:rPr>
          <w:rFonts w:cstheme="minorHAnsi"/>
        </w:rPr>
        <w:t xml:space="preserve">ion of the acceptability of Products </w:t>
      </w:r>
      <w:r w:rsidRPr="00E576B0">
        <w:rPr>
          <w:rFonts w:cstheme="minorHAnsi"/>
        </w:rPr>
        <w:t>for which payment is made.</w:t>
      </w:r>
    </w:p>
    <w:p w14:paraId="03CBA3EA" w14:textId="77777777" w:rsidR="00E576B0" w:rsidRDefault="00E576B0" w:rsidP="00E576B0">
      <w:pPr>
        <w:autoSpaceDE w:val="0"/>
        <w:autoSpaceDN w:val="0"/>
        <w:adjustRightInd w:val="0"/>
        <w:spacing w:after="0" w:line="240" w:lineRule="auto"/>
        <w:ind w:left="1080" w:hanging="360"/>
        <w:rPr>
          <w:rFonts w:cstheme="minorHAnsi"/>
        </w:rPr>
      </w:pPr>
    </w:p>
    <w:p w14:paraId="46F0EA50" w14:textId="593A9D91" w:rsidR="00E576B0" w:rsidRDefault="00E576B0" w:rsidP="00E576B0">
      <w:pPr>
        <w:tabs>
          <w:tab w:val="left" w:pos="360"/>
        </w:tabs>
        <w:spacing w:after="160" w:line="240" w:lineRule="auto"/>
        <w:ind w:left="360" w:hanging="360"/>
        <w:rPr>
          <w:rFonts w:cstheme="minorHAnsi"/>
        </w:rPr>
      </w:pPr>
      <w:r>
        <w:rPr>
          <w:rFonts w:cstheme="minorHAnsi"/>
        </w:rPr>
        <w:t>5.</w:t>
      </w:r>
      <w:r>
        <w:rPr>
          <w:rFonts w:cstheme="minorHAnsi"/>
        </w:rPr>
        <w:tab/>
      </w:r>
      <w:r w:rsidRPr="00E576B0">
        <w:rPr>
          <w:rFonts w:cstheme="minorHAnsi"/>
        </w:rPr>
        <w:t>IN NO EVENT SHALL</w:t>
      </w:r>
      <w:r>
        <w:rPr>
          <w:rFonts w:cstheme="minorHAnsi"/>
        </w:rPr>
        <w:tab/>
        <w:t>INGALLS</w:t>
      </w:r>
      <w:r w:rsidRPr="00E576B0">
        <w:rPr>
          <w:rFonts w:cstheme="minorHAnsi"/>
        </w:rPr>
        <w:t xml:space="preserve"> HAVE ANY LIABILITY TO S</w:t>
      </w:r>
      <w:r w:rsidR="00694080">
        <w:rPr>
          <w:rFonts w:cstheme="minorHAnsi"/>
        </w:rPr>
        <w:t>UPPLIE</w:t>
      </w:r>
      <w:r w:rsidRPr="00E576B0">
        <w:rPr>
          <w:rFonts w:cstheme="minorHAnsi"/>
        </w:rPr>
        <w:t xml:space="preserve">R UNDER THIS </w:t>
      </w:r>
      <w:r w:rsidR="000A23D8">
        <w:rPr>
          <w:rFonts w:cstheme="minorHAnsi"/>
        </w:rPr>
        <w:t xml:space="preserve">CAPEX </w:t>
      </w:r>
      <w:r w:rsidRPr="00E576B0">
        <w:rPr>
          <w:rFonts w:cstheme="minorHAnsi"/>
        </w:rPr>
        <w:t>INCENTIVE PROGRAM. This provision survives any termination or expiration of the Special Incentive Program.</w:t>
      </w:r>
    </w:p>
    <w:p w14:paraId="4C04AE6B" w14:textId="61C325A8" w:rsidR="002D7690" w:rsidRDefault="00E576B0" w:rsidP="00E576B0">
      <w:pPr>
        <w:tabs>
          <w:tab w:val="left" w:pos="360"/>
        </w:tabs>
        <w:spacing w:after="160" w:line="240" w:lineRule="auto"/>
        <w:ind w:left="360" w:hanging="360"/>
        <w:rPr>
          <w:rFonts w:cstheme="minorHAnsi"/>
        </w:rPr>
      </w:pPr>
      <w:r>
        <w:rPr>
          <w:rFonts w:cstheme="minorHAnsi"/>
        </w:rPr>
        <w:t>6.</w:t>
      </w:r>
      <w:r>
        <w:rPr>
          <w:rFonts w:cstheme="minorHAnsi"/>
        </w:rPr>
        <w:tab/>
        <w:t xml:space="preserve">Notwithstanding provision </w:t>
      </w:r>
      <w:r w:rsidR="00694080">
        <w:rPr>
          <w:rFonts w:cstheme="minorHAnsi"/>
        </w:rPr>
        <w:t>6</w:t>
      </w:r>
      <w:r>
        <w:rPr>
          <w:rFonts w:cstheme="minorHAnsi"/>
        </w:rPr>
        <w:t xml:space="preserve"> of form SBF P9328, Order of Precedence, </w:t>
      </w:r>
      <w:r w:rsidR="00694080">
        <w:rPr>
          <w:rFonts w:cstheme="minorHAnsi"/>
        </w:rPr>
        <w:t>i</w:t>
      </w:r>
      <w:r w:rsidRPr="00E576B0">
        <w:rPr>
          <w:rFonts w:cstheme="minorHAnsi"/>
        </w:rPr>
        <w:t>n the event of any inconsist</w:t>
      </w:r>
      <w:r>
        <w:rPr>
          <w:rFonts w:cstheme="minorHAnsi"/>
        </w:rPr>
        <w:t xml:space="preserve">ency between </w:t>
      </w:r>
      <w:r w:rsidR="00694080">
        <w:rPr>
          <w:rFonts w:cstheme="minorHAnsi"/>
        </w:rPr>
        <w:t>terms</w:t>
      </w:r>
      <w:r>
        <w:rPr>
          <w:rFonts w:cstheme="minorHAnsi"/>
        </w:rPr>
        <w:t xml:space="preserve"> of these Special Provisions </w:t>
      </w:r>
      <w:r w:rsidRPr="00E576B0">
        <w:rPr>
          <w:rFonts w:cstheme="minorHAnsi"/>
        </w:rPr>
        <w:t xml:space="preserve">and other </w:t>
      </w:r>
      <w:r>
        <w:rPr>
          <w:rFonts w:cstheme="minorHAnsi"/>
        </w:rPr>
        <w:t>terms incor</w:t>
      </w:r>
      <w:r w:rsidR="00694080">
        <w:rPr>
          <w:rFonts w:cstheme="minorHAnsi"/>
        </w:rPr>
        <w:t>porated by reference into this O</w:t>
      </w:r>
      <w:r>
        <w:rPr>
          <w:rFonts w:cstheme="minorHAnsi"/>
        </w:rPr>
        <w:t xml:space="preserve">rder, the </w:t>
      </w:r>
      <w:r w:rsidR="00694080">
        <w:rPr>
          <w:rFonts w:cstheme="minorHAnsi"/>
        </w:rPr>
        <w:t xml:space="preserve">terms </w:t>
      </w:r>
      <w:r>
        <w:rPr>
          <w:rFonts w:cstheme="minorHAnsi"/>
        </w:rPr>
        <w:t xml:space="preserve">of these Special Provisions </w:t>
      </w:r>
      <w:r w:rsidRPr="00E576B0">
        <w:rPr>
          <w:rFonts w:cstheme="minorHAnsi"/>
        </w:rPr>
        <w:t>will tak</w:t>
      </w:r>
      <w:r w:rsidR="00694080">
        <w:rPr>
          <w:rFonts w:cstheme="minorHAnsi"/>
        </w:rPr>
        <w:t xml:space="preserve">e precedence as applied to this CAPEX </w:t>
      </w:r>
      <w:r w:rsidRPr="00E576B0">
        <w:rPr>
          <w:rFonts w:cstheme="minorHAnsi"/>
        </w:rPr>
        <w:t xml:space="preserve">Incentive </w:t>
      </w:r>
      <w:r w:rsidR="00694080">
        <w:rPr>
          <w:rFonts w:cstheme="minorHAnsi"/>
        </w:rPr>
        <w:t>p</w:t>
      </w:r>
      <w:r w:rsidRPr="00E576B0">
        <w:rPr>
          <w:rFonts w:cstheme="minorHAnsi"/>
        </w:rPr>
        <w:t>rogram</w:t>
      </w:r>
      <w:r>
        <w:rPr>
          <w:rFonts w:cstheme="minorHAnsi"/>
        </w:rPr>
        <w:t>.</w:t>
      </w:r>
      <w:r w:rsidR="002D7690">
        <w:rPr>
          <w:rFonts w:cstheme="minorHAnsi"/>
        </w:rPr>
        <w:tab/>
      </w:r>
    </w:p>
    <w:p w14:paraId="32404450" w14:textId="65E64D4C" w:rsidR="007527BF" w:rsidRPr="003122CD" w:rsidRDefault="00BD1DEB" w:rsidP="007D18F7">
      <w:pPr>
        <w:spacing w:before="480" w:after="160" w:line="240" w:lineRule="auto"/>
        <w:jc w:val="center"/>
        <w:rPr>
          <w:sz w:val="24"/>
        </w:rPr>
      </w:pPr>
      <w:r w:rsidRPr="00C762A3">
        <w:rPr>
          <w:rFonts w:cstheme="minorHAnsi"/>
        </w:rPr>
        <w:t>*</w:t>
      </w:r>
      <w:r w:rsidRPr="00C762A3">
        <w:rPr>
          <w:rFonts w:cstheme="minorHAnsi"/>
        </w:rPr>
        <w:tab/>
        <w:t>*</w:t>
      </w:r>
      <w:r w:rsidRPr="00C762A3">
        <w:rPr>
          <w:rFonts w:cstheme="minorHAnsi"/>
        </w:rPr>
        <w:tab/>
        <w:t>*</w:t>
      </w:r>
      <w:r w:rsidRPr="00C762A3">
        <w:rPr>
          <w:rFonts w:cstheme="minorHAnsi"/>
        </w:rPr>
        <w:tab/>
        <w:t>*</w:t>
      </w:r>
      <w:r w:rsidRPr="00C762A3">
        <w:rPr>
          <w:rFonts w:cstheme="minorHAnsi"/>
        </w:rPr>
        <w:tab/>
        <w:t>*</w:t>
      </w:r>
    </w:p>
    <w:sectPr w:rsidR="007527BF" w:rsidRPr="003122CD" w:rsidSect="00C762A3">
      <w:headerReference w:type="default" r:id="rId8"/>
      <w:footerReference w:type="default" r:id="rId9"/>
      <w:headerReference w:type="first" r:id="rId10"/>
      <w:footerReference w:type="first" r:id="rId11"/>
      <w:pgSz w:w="12240" w:h="15840"/>
      <w:pgMar w:top="720" w:right="1170" w:bottom="1080" w:left="720" w:header="720" w:footer="2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E3F46" w14:textId="77777777" w:rsidR="00FF0D57" w:rsidRDefault="00FF0D57" w:rsidP="000643C3">
      <w:pPr>
        <w:spacing w:after="0" w:line="240" w:lineRule="auto"/>
      </w:pPr>
      <w:r>
        <w:separator/>
      </w:r>
    </w:p>
  </w:endnote>
  <w:endnote w:type="continuationSeparator" w:id="0">
    <w:p w14:paraId="63DBD12B" w14:textId="77777777" w:rsidR="00FF0D57" w:rsidRDefault="00FF0D57" w:rsidP="000643C3">
      <w:pPr>
        <w:spacing w:after="0" w:line="240" w:lineRule="auto"/>
      </w:pPr>
      <w:r>
        <w:continuationSeparator/>
      </w:r>
    </w:p>
  </w:endnote>
  <w:endnote w:type="continuationNotice" w:id="1">
    <w:p w14:paraId="717C9220" w14:textId="77777777" w:rsidR="00FF0D57" w:rsidRDefault="00FF0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CC840" w14:textId="77777777" w:rsidR="00653F85" w:rsidRDefault="00653F85" w:rsidP="00C97450">
    <w:pPr>
      <w:pStyle w:val="Footer"/>
      <w:rPr>
        <w:sz w:val="18"/>
        <w:szCs w:val="18"/>
      </w:rPr>
    </w:pPr>
  </w:p>
  <w:p w14:paraId="3EFB1FE8" w14:textId="29570299" w:rsidR="00653F85" w:rsidRPr="00385C2C" w:rsidRDefault="00653F85" w:rsidP="00DA2CAB">
    <w:pPr>
      <w:pStyle w:val="Footer"/>
      <w:tabs>
        <w:tab w:val="clear" w:pos="4680"/>
        <w:tab w:val="clear" w:pos="9360"/>
        <w:tab w:val="right" w:pos="10800"/>
      </w:tabs>
      <w:rPr>
        <w:rStyle w:val="PageNumber"/>
        <w:rFonts w:ascii="Arial" w:hAnsi="Arial" w:cs="Arial"/>
        <w:sz w:val="14"/>
        <w:szCs w:val="14"/>
      </w:rPr>
    </w:pPr>
    <w:r w:rsidRPr="00385C2C">
      <w:rPr>
        <w:rFonts w:ascii="Arial" w:hAnsi="Arial" w:cs="Arial"/>
        <w:sz w:val="14"/>
        <w:szCs w:val="14"/>
      </w:rPr>
      <w:t xml:space="preserve">SSF </w:t>
    </w:r>
    <w:r w:rsidRPr="0031686E">
      <w:rPr>
        <w:rFonts w:ascii="Arial" w:hAnsi="Arial" w:cs="Arial"/>
        <w:sz w:val="14"/>
        <w:szCs w:val="14"/>
      </w:rPr>
      <w:t>P</w:t>
    </w:r>
    <w:r w:rsidR="002A2413">
      <w:rPr>
        <w:rFonts w:ascii="Arial" w:hAnsi="Arial" w:cs="Arial"/>
        <w:sz w:val="14"/>
        <w:szCs w:val="14"/>
      </w:rPr>
      <w:t>9764</w:t>
    </w:r>
    <w:r>
      <w:rPr>
        <w:rFonts w:ascii="Arial" w:hAnsi="Arial" w:cs="Arial"/>
        <w:sz w:val="14"/>
        <w:szCs w:val="14"/>
      </w:rPr>
      <w:t xml:space="preserve"> </w:t>
    </w:r>
    <w:r w:rsidRPr="0059770E">
      <w:rPr>
        <w:rFonts w:ascii="Arial" w:hAnsi="Arial" w:cs="Arial"/>
        <w:sz w:val="14"/>
        <w:szCs w:val="14"/>
      </w:rPr>
      <w:t>(</w:t>
    </w:r>
    <w:r w:rsidR="007D18F7">
      <w:rPr>
        <w:rFonts w:ascii="Arial" w:hAnsi="Arial" w:cs="Arial"/>
        <w:sz w:val="14"/>
        <w:szCs w:val="14"/>
      </w:rPr>
      <w:t>05</w:t>
    </w:r>
    <w:r w:rsidR="002A2413">
      <w:rPr>
        <w:rFonts w:ascii="Arial" w:hAnsi="Arial" w:cs="Arial"/>
        <w:sz w:val="14"/>
        <w:szCs w:val="14"/>
      </w:rPr>
      <w:t>/</w:t>
    </w:r>
    <w:r w:rsidR="007D18F7">
      <w:rPr>
        <w:rFonts w:ascii="Arial" w:hAnsi="Arial" w:cs="Arial"/>
        <w:sz w:val="14"/>
        <w:szCs w:val="14"/>
      </w:rPr>
      <w:t>18</w:t>
    </w:r>
    <w:r w:rsidRPr="0059770E">
      <w:rPr>
        <w:rFonts w:ascii="Arial" w:hAnsi="Arial" w:cs="Arial"/>
        <w:sz w:val="14"/>
        <w:szCs w:val="14"/>
      </w:rPr>
      <w:t>/</w:t>
    </w:r>
    <w:r w:rsidR="007527BF">
      <w:rPr>
        <w:rFonts w:ascii="Arial" w:hAnsi="Arial" w:cs="Arial"/>
        <w:sz w:val="14"/>
        <w:szCs w:val="14"/>
      </w:rPr>
      <w:t>2</w:t>
    </w:r>
    <w:r w:rsidR="002D7690">
      <w:rPr>
        <w:rFonts w:ascii="Arial" w:hAnsi="Arial" w:cs="Arial"/>
        <w:sz w:val="14"/>
        <w:szCs w:val="14"/>
      </w:rPr>
      <w:t>1</w:t>
    </w:r>
    <w:r w:rsidRPr="0059770E">
      <w:rPr>
        <w:rFonts w:ascii="Arial" w:hAnsi="Arial" w:cs="Arial"/>
        <w:sz w:val="14"/>
        <w:szCs w:val="14"/>
      </w:rPr>
      <w:t>)</w:t>
    </w:r>
    <w:r w:rsidRPr="00385C2C">
      <w:rPr>
        <w:rFonts w:ascii="Arial" w:hAnsi="Arial" w:cs="Arial"/>
        <w:sz w:val="14"/>
        <w:szCs w:val="14"/>
      </w:rPr>
      <w:tab/>
      <w:t xml:space="preserve">Page </w:t>
    </w:r>
    <w:r w:rsidRPr="00385C2C">
      <w:rPr>
        <w:rStyle w:val="PageNumber"/>
        <w:rFonts w:ascii="Arial" w:hAnsi="Arial" w:cs="Arial"/>
        <w:sz w:val="14"/>
        <w:szCs w:val="14"/>
      </w:rPr>
      <w:fldChar w:fldCharType="begin"/>
    </w:r>
    <w:r w:rsidRPr="00385C2C">
      <w:rPr>
        <w:rStyle w:val="PageNumber"/>
        <w:rFonts w:ascii="Arial" w:hAnsi="Arial" w:cs="Arial"/>
        <w:sz w:val="14"/>
        <w:szCs w:val="14"/>
      </w:rPr>
      <w:instrText xml:space="preserve"> PAGE </w:instrText>
    </w:r>
    <w:r w:rsidRPr="00385C2C">
      <w:rPr>
        <w:rStyle w:val="PageNumber"/>
        <w:rFonts w:ascii="Arial" w:hAnsi="Arial" w:cs="Arial"/>
        <w:sz w:val="14"/>
        <w:szCs w:val="14"/>
      </w:rPr>
      <w:fldChar w:fldCharType="separate"/>
    </w:r>
    <w:r w:rsidR="0004537B">
      <w:rPr>
        <w:rStyle w:val="PageNumber"/>
        <w:rFonts w:ascii="Arial" w:hAnsi="Arial" w:cs="Arial"/>
        <w:noProof/>
        <w:sz w:val="14"/>
        <w:szCs w:val="14"/>
      </w:rPr>
      <w:t>2</w:t>
    </w:r>
    <w:r w:rsidRPr="00385C2C">
      <w:rPr>
        <w:rStyle w:val="PageNumber"/>
        <w:rFonts w:ascii="Arial" w:hAnsi="Arial" w:cs="Arial"/>
        <w:sz w:val="14"/>
        <w:szCs w:val="14"/>
      </w:rPr>
      <w:fldChar w:fldCharType="end"/>
    </w:r>
    <w:r w:rsidRPr="00385C2C">
      <w:rPr>
        <w:rStyle w:val="PageNumber"/>
        <w:rFonts w:ascii="Arial" w:hAnsi="Arial" w:cs="Arial"/>
        <w:sz w:val="14"/>
        <w:szCs w:val="14"/>
      </w:rPr>
      <w:t xml:space="preserve"> of </w:t>
    </w:r>
    <w:r w:rsidRPr="00385C2C">
      <w:rPr>
        <w:rStyle w:val="PageNumber"/>
        <w:rFonts w:ascii="Arial" w:hAnsi="Arial" w:cs="Arial"/>
        <w:sz w:val="14"/>
        <w:szCs w:val="14"/>
      </w:rPr>
      <w:fldChar w:fldCharType="begin"/>
    </w:r>
    <w:r w:rsidRPr="00385C2C">
      <w:rPr>
        <w:rStyle w:val="PageNumber"/>
        <w:rFonts w:ascii="Arial" w:hAnsi="Arial" w:cs="Arial"/>
        <w:sz w:val="14"/>
        <w:szCs w:val="14"/>
      </w:rPr>
      <w:instrText xml:space="preserve"> NUMPAGES </w:instrText>
    </w:r>
    <w:r w:rsidRPr="00385C2C">
      <w:rPr>
        <w:rStyle w:val="PageNumber"/>
        <w:rFonts w:ascii="Arial" w:hAnsi="Arial" w:cs="Arial"/>
        <w:sz w:val="14"/>
        <w:szCs w:val="14"/>
      </w:rPr>
      <w:fldChar w:fldCharType="separate"/>
    </w:r>
    <w:r w:rsidR="0004537B">
      <w:rPr>
        <w:rStyle w:val="PageNumber"/>
        <w:rFonts w:ascii="Arial" w:hAnsi="Arial" w:cs="Arial"/>
        <w:noProof/>
        <w:sz w:val="14"/>
        <w:szCs w:val="14"/>
      </w:rPr>
      <w:t>2</w:t>
    </w:r>
    <w:r w:rsidRPr="00385C2C">
      <w:rPr>
        <w:rStyle w:val="PageNumber"/>
        <w:rFonts w:ascii="Arial" w:hAnsi="Arial" w:cs="Arial"/>
        <w:sz w:val="14"/>
        <w:szCs w:val="14"/>
      </w:rPr>
      <w:fldChar w:fldCharType="end"/>
    </w:r>
  </w:p>
  <w:p w14:paraId="4303ED42" w14:textId="77777777" w:rsidR="00653F85" w:rsidRPr="00004933" w:rsidRDefault="00653F85" w:rsidP="00004933">
    <w:pPr>
      <w:pStyle w:val="Footer"/>
      <w:tabs>
        <w:tab w:val="right" w:pos="9600"/>
      </w:tabs>
      <w:rPr>
        <w:rFonts w:ascii="Arial" w:hAnsi="Arial" w:cs="Arial"/>
        <w:b/>
        <w:sz w:val="10"/>
        <w:szCs w:val="16"/>
      </w:rPr>
    </w:pPr>
    <w:r w:rsidRPr="00004933">
      <w:rPr>
        <w:rStyle w:val="PageNumber"/>
        <w:rFonts w:ascii="Arial" w:hAnsi="Arial" w:cs="Arial"/>
        <w:b/>
        <w:sz w:val="16"/>
      </w:rPr>
      <w:t>Ingalls Shipbuilding</w:t>
    </w:r>
  </w:p>
  <w:p w14:paraId="08B1DEFD" w14:textId="77777777" w:rsidR="00653F85" w:rsidRPr="000643C3" w:rsidRDefault="00653F85" w:rsidP="00004933">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E798B" w14:textId="698C5E9C" w:rsidR="00653F85" w:rsidRPr="00385C2C" w:rsidRDefault="00653F85" w:rsidP="00B82298">
    <w:pPr>
      <w:pStyle w:val="Footer"/>
      <w:tabs>
        <w:tab w:val="clear" w:pos="4680"/>
        <w:tab w:val="clear" w:pos="9360"/>
        <w:tab w:val="right" w:pos="10800"/>
      </w:tabs>
      <w:rPr>
        <w:rStyle w:val="PageNumber"/>
        <w:rFonts w:ascii="Arial" w:hAnsi="Arial" w:cs="Arial"/>
        <w:sz w:val="14"/>
        <w:szCs w:val="14"/>
      </w:rPr>
    </w:pPr>
    <w:r w:rsidRPr="00385C2C">
      <w:rPr>
        <w:rFonts w:ascii="Arial" w:hAnsi="Arial" w:cs="Arial"/>
        <w:sz w:val="14"/>
        <w:szCs w:val="14"/>
      </w:rPr>
      <w:t xml:space="preserve">SSF </w:t>
    </w:r>
    <w:r w:rsidRPr="0031686E">
      <w:rPr>
        <w:rFonts w:ascii="Arial" w:hAnsi="Arial" w:cs="Arial"/>
        <w:sz w:val="14"/>
        <w:szCs w:val="14"/>
      </w:rPr>
      <w:t>P</w:t>
    </w:r>
    <w:r>
      <w:rPr>
        <w:rFonts w:ascii="Arial" w:hAnsi="Arial" w:cs="Arial"/>
        <w:sz w:val="14"/>
        <w:szCs w:val="14"/>
      </w:rPr>
      <w:t>9</w:t>
    </w:r>
    <w:r w:rsidR="002A2413">
      <w:rPr>
        <w:rFonts w:ascii="Arial" w:hAnsi="Arial" w:cs="Arial"/>
        <w:sz w:val="14"/>
        <w:szCs w:val="14"/>
      </w:rPr>
      <w:t>764</w:t>
    </w:r>
    <w:r>
      <w:rPr>
        <w:rFonts w:ascii="Arial" w:hAnsi="Arial" w:cs="Arial"/>
        <w:sz w:val="14"/>
        <w:szCs w:val="14"/>
      </w:rPr>
      <w:t xml:space="preserve"> (</w:t>
    </w:r>
    <w:r w:rsidR="007D18F7">
      <w:rPr>
        <w:rFonts w:ascii="Arial" w:hAnsi="Arial" w:cs="Arial"/>
        <w:sz w:val="14"/>
        <w:szCs w:val="14"/>
      </w:rPr>
      <w:t>05</w:t>
    </w:r>
    <w:r w:rsidR="002D7690">
      <w:rPr>
        <w:rFonts w:ascii="Arial" w:hAnsi="Arial" w:cs="Arial"/>
        <w:sz w:val="14"/>
        <w:szCs w:val="14"/>
      </w:rPr>
      <w:t>/</w:t>
    </w:r>
    <w:r w:rsidR="007D18F7">
      <w:rPr>
        <w:rFonts w:ascii="Arial" w:hAnsi="Arial" w:cs="Arial"/>
        <w:sz w:val="14"/>
        <w:szCs w:val="14"/>
      </w:rPr>
      <w:t>18</w:t>
    </w:r>
    <w:r>
      <w:rPr>
        <w:rFonts w:ascii="Arial" w:hAnsi="Arial" w:cs="Arial"/>
        <w:sz w:val="14"/>
        <w:szCs w:val="14"/>
      </w:rPr>
      <w:t>/</w:t>
    </w:r>
    <w:r w:rsidR="002D7690">
      <w:rPr>
        <w:rFonts w:ascii="Arial" w:hAnsi="Arial" w:cs="Arial"/>
        <w:sz w:val="14"/>
        <w:szCs w:val="14"/>
      </w:rPr>
      <w:t>21)</w:t>
    </w:r>
    <w:r w:rsidRPr="00385C2C">
      <w:rPr>
        <w:rFonts w:ascii="Arial" w:hAnsi="Arial" w:cs="Arial"/>
        <w:sz w:val="14"/>
        <w:szCs w:val="14"/>
      </w:rPr>
      <w:tab/>
      <w:t xml:space="preserve">Page </w:t>
    </w:r>
    <w:r w:rsidRPr="00385C2C">
      <w:rPr>
        <w:rStyle w:val="PageNumber"/>
        <w:rFonts w:ascii="Arial" w:hAnsi="Arial" w:cs="Arial"/>
        <w:sz w:val="14"/>
        <w:szCs w:val="14"/>
      </w:rPr>
      <w:fldChar w:fldCharType="begin"/>
    </w:r>
    <w:r w:rsidRPr="00385C2C">
      <w:rPr>
        <w:rStyle w:val="PageNumber"/>
        <w:rFonts w:ascii="Arial" w:hAnsi="Arial" w:cs="Arial"/>
        <w:sz w:val="14"/>
        <w:szCs w:val="14"/>
      </w:rPr>
      <w:instrText xml:space="preserve"> PAGE </w:instrText>
    </w:r>
    <w:r w:rsidRPr="00385C2C">
      <w:rPr>
        <w:rStyle w:val="PageNumber"/>
        <w:rFonts w:ascii="Arial" w:hAnsi="Arial" w:cs="Arial"/>
        <w:sz w:val="14"/>
        <w:szCs w:val="14"/>
      </w:rPr>
      <w:fldChar w:fldCharType="separate"/>
    </w:r>
    <w:r w:rsidR="0004537B">
      <w:rPr>
        <w:rStyle w:val="PageNumber"/>
        <w:rFonts w:ascii="Arial" w:hAnsi="Arial" w:cs="Arial"/>
        <w:noProof/>
        <w:sz w:val="14"/>
        <w:szCs w:val="14"/>
      </w:rPr>
      <w:t>1</w:t>
    </w:r>
    <w:r w:rsidRPr="00385C2C">
      <w:rPr>
        <w:rStyle w:val="PageNumber"/>
        <w:rFonts w:ascii="Arial" w:hAnsi="Arial" w:cs="Arial"/>
        <w:sz w:val="14"/>
        <w:szCs w:val="14"/>
      </w:rPr>
      <w:fldChar w:fldCharType="end"/>
    </w:r>
    <w:r w:rsidRPr="00385C2C">
      <w:rPr>
        <w:rStyle w:val="PageNumber"/>
        <w:rFonts w:ascii="Arial" w:hAnsi="Arial" w:cs="Arial"/>
        <w:sz w:val="14"/>
        <w:szCs w:val="14"/>
      </w:rPr>
      <w:t xml:space="preserve"> of </w:t>
    </w:r>
    <w:r w:rsidRPr="00385C2C">
      <w:rPr>
        <w:rStyle w:val="PageNumber"/>
        <w:rFonts w:ascii="Arial" w:hAnsi="Arial" w:cs="Arial"/>
        <w:sz w:val="14"/>
        <w:szCs w:val="14"/>
      </w:rPr>
      <w:fldChar w:fldCharType="begin"/>
    </w:r>
    <w:r w:rsidRPr="00385C2C">
      <w:rPr>
        <w:rStyle w:val="PageNumber"/>
        <w:rFonts w:ascii="Arial" w:hAnsi="Arial" w:cs="Arial"/>
        <w:sz w:val="14"/>
        <w:szCs w:val="14"/>
      </w:rPr>
      <w:instrText xml:space="preserve"> NUMPAGES </w:instrText>
    </w:r>
    <w:r w:rsidRPr="00385C2C">
      <w:rPr>
        <w:rStyle w:val="PageNumber"/>
        <w:rFonts w:ascii="Arial" w:hAnsi="Arial" w:cs="Arial"/>
        <w:sz w:val="14"/>
        <w:szCs w:val="14"/>
      </w:rPr>
      <w:fldChar w:fldCharType="separate"/>
    </w:r>
    <w:r w:rsidR="0004537B">
      <w:rPr>
        <w:rStyle w:val="PageNumber"/>
        <w:rFonts w:ascii="Arial" w:hAnsi="Arial" w:cs="Arial"/>
        <w:noProof/>
        <w:sz w:val="14"/>
        <w:szCs w:val="14"/>
      </w:rPr>
      <w:t>2</w:t>
    </w:r>
    <w:r w:rsidRPr="00385C2C">
      <w:rPr>
        <w:rStyle w:val="PageNumber"/>
        <w:rFonts w:ascii="Arial" w:hAnsi="Arial" w:cs="Arial"/>
        <w:sz w:val="14"/>
        <w:szCs w:val="14"/>
      </w:rPr>
      <w:fldChar w:fldCharType="end"/>
    </w:r>
  </w:p>
  <w:p w14:paraId="6A59CD4B" w14:textId="77777777" w:rsidR="00653F85" w:rsidRPr="00004933" w:rsidRDefault="00653F85" w:rsidP="00B82298">
    <w:pPr>
      <w:pStyle w:val="Footer"/>
      <w:tabs>
        <w:tab w:val="right" w:pos="9600"/>
      </w:tabs>
      <w:rPr>
        <w:rFonts w:ascii="Arial" w:hAnsi="Arial" w:cs="Arial"/>
        <w:b/>
        <w:sz w:val="10"/>
        <w:szCs w:val="16"/>
      </w:rPr>
    </w:pPr>
    <w:r w:rsidRPr="00004933">
      <w:rPr>
        <w:rStyle w:val="PageNumber"/>
        <w:rFonts w:ascii="Arial" w:hAnsi="Arial" w:cs="Arial"/>
        <w:b/>
        <w:sz w:val="16"/>
      </w:rPr>
      <w:t>Ingalls Shipbuilding</w:t>
    </w:r>
  </w:p>
  <w:p w14:paraId="1225A392" w14:textId="77777777" w:rsidR="00653F85" w:rsidRPr="006241D9" w:rsidRDefault="00653F85" w:rsidP="00B82298">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74E64" w14:textId="77777777" w:rsidR="00FF0D57" w:rsidRDefault="00FF0D57" w:rsidP="000643C3">
      <w:pPr>
        <w:spacing w:after="0" w:line="240" w:lineRule="auto"/>
      </w:pPr>
      <w:r>
        <w:separator/>
      </w:r>
    </w:p>
  </w:footnote>
  <w:footnote w:type="continuationSeparator" w:id="0">
    <w:p w14:paraId="56B83D1C" w14:textId="77777777" w:rsidR="00FF0D57" w:rsidRDefault="00FF0D57" w:rsidP="000643C3">
      <w:pPr>
        <w:spacing w:after="0" w:line="240" w:lineRule="auto"/>
      </w:pPr>
      <w:r>
        <w:continuationSeparator/>
      </w:r>
    </w:p>
  </w:footnote>
  <w:footnote w:type="continuationNotice" w:id="1">
    <w:p w14:paraId="18A5EF85" w14:textId="77777777" w:rsidR="00FF0D57" w:rsidRDefault="00FF0D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E8FAB" w14:textId="072B2A42" w:rsidR="00653F85" w:rsidRDefault="0004537B">
    <w:pPr>
      <w:pStyle w:val="Header"/>
    </w:pPr>
    <w:r>
      <w:rPr>
        <w:noProof/>
      </w:rPr>
      <w:drawing>
        <wp:inline distT="0" distB="0" distL="0" distR="0" wp14:anchorId="1E00E871" wp14:editId="2FA4CF62">
          <wp:extent cx="1463040" cy="4572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3040" cy="457200"/>
                  </a:xfrm>
                  <a:prstGeom prst="rect">
                    <a:avLst/>
                  </a:prstGeom>
                  <a:noFill/>
                  <a:ln w="9525">
                    <a:noFill/>
                    <a:miter lim="800000"/>
                    <a:headEnd/>
                    <a:tailEnd/>
                  </a:ln>
                </pic:spPr>
              </pic:pic>
            </a:graphicData>
          </a:graphic>
        </wp:inline>
      </w:drawing>
    </w:r>
  </w:p>
  <w:p w14:paraId="3B0A7FFE" w14:textId="77777777" w:rsidR="00653F85" w:rsidRDefault="00653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89A0E" w14:textId="68CF639A" w:rsidR="00653F85" w:rsidRDefault="0004537B">
    <w:pPr>
      <w:pStyle w:val="Header"/>
    </w:pPr>
    <w:r>
      <w:rPr>
        <w:noProof/>
      </w:rPr>
      <w:drawing>
        <wp:inline distT="0" distB="0" distL="0" distR="0" wp14:anchorId="772D0A05" wp14:editId="149C9E22">
          <wp:extent cx="1463040" cy="45720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3040"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903"/>
    <w:multiLevelType w:val="multilevel"/>
    <w:tmpl w:val="EB5EF5DA"/>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val="0"/>
      </w:rPr>
    </w:lvl>
    <w:lvl w:ilvl="2">
      <w:start w:val="1"/>
      <w:numFmt w:val="lowerRoman"/>
      <w:lvlText w:val="%3."/>
      <w:lvlJc w:val="left"/>
      <w:pPr>
        <w:tabs>
          <w:tab w:val="num" w:pos="1152"/>
        </w:tabs>
        <w:ind w:left="1152" w:hanging="43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970A11"/>
    <w:multiLevelType w:val="hybridMultilevel"/>
    <w:tmpl w:val="CF1CF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21FEA"/>
    <w:multiLevelType w:val="hybridMultilevel"/>
    <w:tmpl w:val="AA5E5550"/>
    <w:lvl w:ilvl="0" w:tplc="D39C7D98">
      <w:start w:val="1"/>
      <w:numFmt w:val="lowerRoman"/>
      <w:lvlText w:val="(%1)"/>
      <w:lvlJc w:val="left"/>
      <w:pPr>
        <w:ind w:left="765" w:hanging="72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0F4F7A09"/>
    <w:multiLevelType w:val="multilevel"/>
    <w:tmpl w:val="2C54F9D4"/>
    <w:lvl w:ilvl="0">
      <w:start w:val="1"/>
      <w:numFmt w:val="lowerRoman"/>
      <w:lvlText w:val="%1."/>
      <w:lvlJc w:val="right"/>
      <w:pPr>
        <w:tabs>
          <w:tab w:val="num" w:pos="1080"/>
        </w:tabs>
        <w:ind w:left="108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72"/>
        </w:tabs>
        <w:ind w:left="1872" w:hanging="432"/>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60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432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110107ED"/>
    <w:multiLevelType w:val="multilevel"/>
    <w:tmpl w:val="3412205A"/>
    <w:lvl w:ilvl="0">
      <w:start w:val="1"/>
      <w:numFmt w:val="decimal"/>
      <w:pStyle w:val="list1"/>
      <w:lvlText w:val="%1."/>
      <w:lvlJc w:val="left"/>
      <w:pPr>
        <w:tabs>
          <w:tab w:val="num" w:pos="600"/>
        </w:tabs>
        <w:ind w:left="600" w:hanging="600"/>
      </w:pPr>
      <w:rPr>
        <w:rFonts w:asciiTheme="minorHAnsi" w:hAnsiTheme="minorHAnsi" w:hint="default"/>
      </w:rPr>
    </w:lvl>
    <w:lvl w:ilvl="1">
      <w:start w:val="1"/>
      <w:numFmt w:val="upperLetter"/>
      <w:lvlText w:val="%2."/>
      <w:lvlJc w:val="left"/>
      <w:pPr>
        <w:tabs>
          <w:tab w:val="num" w:pos="1320"/>
        </w:tabs>
        <w:ind w:left="1320" w:hanging="600"/>
      </w:pPr>
      <w:rPr>
        <w:rFonts w:hint="default"/>
      </w:rPr>
    </w:lvl>
    <w:lvl w:ilvl="2">
      <w:start w:val="1"/>
      <w:numFmt w:val="decimal"/>
      <w:lvlText w:val="(%3)"/>
      <w:lvlJc w:val="left"/>
      <w:pPr>
        <w:tabs>
          <w:tab w:val="num" w:pos="2040"/>
        </w:tabs>
        <w:ind w:left="2040" w:hanging="840"/>
      </w:pPr>
      <w:rPr>
        <w:rFonts w:hint="default"/>
      </w:rPr>
    </w:lvl>
    <w:lvl w:ilvl="3">
      <w:start w:val="1"/>
      <w:numFmt w:val="lowerRoman"/>
      <w:lvlText w:val="(%4)"/>
      <w:lvlJc w:val="left"/>
      <w:pPr>
        <w:tabs>
          <w:tab w:val="num" w:pos="3000"/>
        </w:tabs>
        <w:ind w:left="3000" w:hanging="960"/>
      </w:pPr>
      <w:rPr>
        <w:rFonts w:hint="default"/>
      </w:rPr>
    </w:lvl>
    <w:lvl w:ilvl="4">
      <w:start w:val="1"/>
      <w:numFmt w:val="lowerLetter"/>
      <w:lvlText w:val="(%5)"/>
      <w:lvlJc w:val="left"/>
      <w:pPr>
        <w:tabs>
          <w:tab w:val="num" w:pos="1848"/>
        </w:tabs>
        <w:ind w:left="1848" w:hanging="360"/>
      </w:pPr>
      <w:rPr>
        <w:rFonts w:hint="default"/>
      </w:rPr>
    </w:lvl>
    <w:lvl w:ilvl="5">
      <w:start w:val="1"/>
      <w:numFmt w:val="lowerRoman"/>
      <w:lvlText w:val="(%6)"/>
      <w:lvlJc w:val="left"/>
      <w:pPr>
        <w:tabs>
          <w:tab w:val="num" w:pos="2208"/>
        </w:tabs>
        <w:ind w:left="2208" w:hanging="360"/>
      </w:pPr>
      <w:rPr>
        <w:rFonts w:hint="default"/>
      </w:rPr>
    </w:lvl>
    <w:lvl w:ilvl="6">
      <w:start w:val="1"/>
      <w:numFmt w:val="decimal"/>
      <w:lvlText w:val="%7."/>
      <w:lvlJc w:val="left"/>
      <w:pPr>
        <w:tabs>
          <w:tab w:val="num" w:pos="2568"/>
        </w:tabs>
        <w:ind w:left="2568" w:hanging="360"/>
      </w:pPr>
      <w:rPr>
        <w:rFonts w:hint="default"/>
      </w:rPr>
    </w:lvl>
    <w:lvl w:ilvl="7">
      <w:start w:val="1"/>
      <w:numFmt w:val="lowerLetter"/>
      <w:lvlText w:val="%8."/>
      <w:lvlJc w:val="left"/>
      <w:pPr>
        <w:tabs>
          <w:tab w:val="num" w:pos="2928"/>
        </w:tabs>
        <w:ind w:left="2928" w:hanging="360"/>
      </w:pPr>
      <w:rPr>
        <w:rFonts w:hint="default"/>
      </w:rPr>
    </w:lvl>
    <w:lvl w:ilvl="8">
      <w:start w:val="1"/>
      <w:numFmt w:val="lowerRoman"/>
      <w:lvlText w:val="%9."/>
      <w:lvlJc w:val="left"/>
      <w:pPr>
        <w:tabs>
          <w:tab w:val="num" w:pos="3288"/>
        </w:tabs>
        <w:ind w:left="3288" w:hanging="360"/>
      </w:pPr>
      <w:rPr>
        <w:rFonts w:hint="default"/>
      </w:rPr>
    </w:lvl>
  </w:abstractNum>
  <w:abstractNum w:abstractNumId="5" w15:restartNumberingAfterBreak="0">
    <w:nsid w:val="24311670"/>
    <w:multiLevelType w:val="multilevel"/>
    <w:tmpl w:val="ABD0CD80"/>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val="0"/>
      </w:rPr>
    </w:lvl>
    <w:lvl w:ilvl="2">
      <w:start w:val="1"/>
      <w:numFmt w:val="lowerRoman"/>
      <w:lvlText w:val="%3."/>
      <w:lvlJc w:val="left"/>
      <w:pPr>
        <w:tabs>
          <w:tab w:val="num" w:pos="1152"/>
        </w:tabs>
        <w:ind w:left="1152" w:hanging="43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FF3FEE"/>
    <w:multiLevelType w:val="hybridMultilevel"/>
    <w:tmpl w:val="96826D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947070"/>
    <w:multiLevelType w:val="multilevel"/>
    <w:tmpl w:val="56743200"/>
    <w:lvl w:ilvl="0">
      <w:start w:val="1"/>
      <w:numFmt w:val="decimal"/>
      <w:pStyle w:val="list10"/>
      <w:lvlText w:val="(%1)"/>
      <w:lvlJc w:val="left"/>
      <w:pPr>
        <w:tabs>
          <w:tab w:val="num" w:pos="1800"/>
        </w:tabs>
        <w:ind w:left="1800" w:hanging="629"/>
      </w:pPr>
      <w:rPr>
        <w:rFonts w:ascii="Calibri" w:hAnsi="Calibri"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611"/>
        </w:tabs>
        <w:ind w:left="2611" w:hanging="811"/>
      </w:pPr>
      <w:rPr>
        <w:rFonts w:ascii="Times New Roman" w:hAnsi="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033"/>
        </w:tabs>
        <w:ind w:left="3033" w:hanging="631"/>
      </w:pPr>
      <w:rPr>
        <w:rFonts w:ascii="Courier New" w:hAnsi="Courier New"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951"/>
        </w:tabs>
        <w:ind w:left="1951" w:hanging="360"/>
      </w:pPr>
      <w:rPr>
        <w:rFonts w:ascii="Courier New" w:hAnsi="Courier New"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311"/>
        </w:tabs>
        <w:ind w:left="2311" w:hanging="360"/>
      </w:pPr>
      <w:rPr>
        <w:rFonts w:hint="default"/>
      </w:rPr>
    </w:lvl>
    <w:lvl w:ilvl="5">
      <w:start w:val="1"/>
      <w:numFmt w:val="lowerRoman"/>
      <w:lvlText w:val="(%6)"/>
      <w:lvlJc w:val="left"/>
      <w:pPr>
        <w:tabs>
          <w:tab w:val="num" w:pos="2671"/>
        </w:tabs>
        <w:ind w:left="2671" w:hanging="360"/>
      </w:pPr>
      <w:rPr>
        <w:rFonts w:hint="default"/>
      </w:rPr>
    </w:lvl>
    <w:lvl w:ilvl="6">
      <w:start w:val="1"/>
      <w:numFmt w:val="decimal"/>
      <w:lvlText w:val="%7."/>
      <w:lvlJc w:val="left"/>
      <w:pPr>
        <w:tabs>
          <w:tab w:val="num" w:pos="3031"/>
        </w:tabs>
        <w:ind w:left="3031" w:hanging="360"/>
      </w:pPr>
      <w:rPr>
        <w:rFonts w:hint="default"/>
      </w:rPr>
    </w:lvl>
    <w:lvl w:ilvl="7">
      <w:start w:val="1"/>
      <w:numFmt w:val="lowerLetter"/>
      <w:lvlText w:val="%8."/>
      <w:lvlJc w:val="left"/>
      <w:pPr>
        <w:tabs>
          <w:tab w:val="num" w:pos="3391"/>
        </w:tabs>
        <w:ind w:left="3391" w:hanging="360"/>
      </w:pPr>
      <w:rPr>
        <w:rFonts w:hint="default"/>
      </w:rPr>
    </w:lvl>
    <w:lvl w:ilvl="8">
      <w:start w:val="1"/>
      <w:numFmt w:val="lowerRoman"/>
      <w:lvlText w:val="%9."/>
      <w:lvlJc w:val="left"/>
      <w:pPr>
        <w:tabs>
          <w:tab w:val="num" w:pos="3751"/>
        </w:tabs>
        <w:ind w:left="3751" w:hanging="360"/>
      </w:pPr>
      <w:rPr>
        <w:rFonts w:hint="default"/>
      </w:rPr>
    </w:lvl>
  </w:abstractNum>
  <w:abstractNum w:abstractNumId="8" w15:restartNumberingAfterBreak="0">
    <w:nsid w:val="37241245"/>
    <w:multiLevelType w:val="hybridMultilevel"/>
    <w:tmpl w:val="14ECF24A"/>
    <w:lvl w:ilvl="0" w:tplc="0A0E163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20347"/>
    <w:multiLevelType w:val="multilevel"/>
    <w:tmpl w:val="FE26A1D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val="0"/>
      </w:rPr>
    </w:lvl>
    <w:lvl w:ilvl="2">
      <w:start w:val="1"/>
      <w:numFmt w:val="lowerRoman"/>
      <w:lvlText w:val="%3."/>
      <w:lvlJc w:val="left"/>
      <w:pPr>
        <w:tabs>
          <w:tab w:val="num" w:pos="1152"/>
        </w:tabs>
        <w:ind w:left="1152" w:hanging="432"/>
      </w:pPr>
      <w:rPr>
        <w:rFonts w:hint="default"/>
      </w:rPr>
    </w:lvl>
    <w:lvl w:ilvl="3">
      <w:start w:val="1"/>
      <w:numFmt w:val="decimal"/>
      <w:lvlText w:val="%4."/>
      <w:lvlJc w:val="left"/>
      <w:pPr>
        <w:ind w:left="1530" w:hanging="360"/>
      </w:pPr>
      <w:rPr>
        <w:rFonts w:asciiTheme="minorHAnsi" w:eastAsia="Times New Roman" w:hAnsiTheme="minorHAnsi"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1076C0E"/>
    <w:multiLevelType w:val="hybridMultilevel"/>
    <w:tmpl w:val="6E681AFC"/>
    <w:lvl w:ilvl="0" w:tplc="FC2832A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82F66"/>
    <w:multiLevelType w:val="multilevel"/>
    <w:tmpl w:val="161A43B8"/>
    <w:lvl w:ilvl="0">
      <w:start w:val="1"/>
      <w:numFmt w:val="lowerRoman"/>
      <w:lvlText w:val="%1."/>
      <w:lvlJc w:val="right"/>
      <w:pPr>
        <w:tabs>
          <w:tab w:val="num" w:pos="1080"/>
        </w:tabs>
        <w:ind w:left="108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72"/>
        </w:tabs>
        <w:ind w:left="1872" w:hanging="432"/>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360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432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4C7E4471"/>
    <w:multiLevelType w:val="hybridMultilevel"/>
    <w:tmpl w:val="507AEA84"/>
    <w:lvl w:ilvl="0" w:tplc="2B920B1A">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921654"/>
    <w:multiLevelType w:val="hybridMultilevel"/>
    <w:tmpl w:val="16C04352"/>
    <w:lvl w:ilvl="0" w:tplc="88FA70D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37255B"/>
    <w:multiLevelType w:val="hybridMultilevel"/>
    <w:tmpl w:val="87B6CC1C"/>
    <w:lvl w:ilvl="0" w:tplc="0E30BEF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B668E"/>
    <w:multiLevelType w:val="multilevel"/>
    <w:tmpl w:val="69962D0A"/>
    <w:lvl w:ilvl="0">
      <w:start w:val="8"/>
      <w:numFmt w:val="decimal"/>
      <w:lvlText w:val="%1."/>
      <w:lvlJc w:val="left"/>
      <w:pPr>
        <w:tabs>
          <w:tab w:val="num" w:pos="360"/>
        </w:tabs>
        <w:ind w:left="360" w:hanging="360"/>
      </w:pPr>
      <w:rPr>
        <w:rFonts w:hint="default"/>
        <w:b w:val="0"/>
      </w:rPr>
    </w:lvl>
    <w:lvl w:ilvl="1">
      <w:start w:val="1"/>
      <w:numFmt w:val="upperLetter"/>
      <w:lvlText w:val="%2."/>
      <w:lvlJc w:val="left"/>
      <w:pPr>
        <w:tabs>
          <w:tab w:val="num" w:pos="720"/>
        </w:tabs>
        <w:ind w:left="720" w:hanging="360"/>
      </w:pPr>
      <w:rPr>
        <w:rFonts w:hint="default"/>
        <w:b w:val="0"/>
      </w:rPr>
    </w:lvl>
    <w:lvl w:ilvl="2">
      <w:start w:val="1"/>
      <w:numFmt w:val="lowerRoman"/>
      <w:lvlText w:val="%3."/>
      <w:lvlJc w:val="left"/>
      <w:pPr>
        <w:tabs>
          <w:tab w:val="num" w:pos="1152"/>
        </w:tabs>
        <w:ind w:left="1152" w:hanging="43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3874CD6"/>
    <w:multiLevelType w:val="hybridMultilevel"/>
    <w:tmpl w:val="6D863E7E"/>
    <w:lvl w:ilvl="0" w:tplc="0409000F">
      <w:start w:val="1"/>
      <w:numFmt w:val="decimal"/>
      <w:lvlText w:val="%1."/>
      <w:lvlJc w:val="left"/>
      <w:pPr>
        <w:ind w:left="720" w:hanging="360"/>
      </w:p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96CA8"/>
    <w:multiLevelType w:val="hybridMultilevel"/>
    <w:tmpl w:val="276A90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4"/>
  </w:num>
  <w:num w:numId="4">
    <w:abstractNumId w:val="3"/>
  </w:num>
  <w:num w:numId="5">
    <w:abstractNumId w:val="7"/>
  </w:num>
  <w:num w:numId="6">
    <w:abstractNumId w:val="3"/>
  </w:num>
  <w:num w:numId="7">
    <w:abstractNumId w:val="15"/>
  </w:num>
  <w:num w:numId="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 w:numId="11">
    <w:abstractNumId w:val="11"/>
  </w:num>
  <w:num w:numId="12">
    <w:abstractNumId w:val="6"/>
  </w:num>
  <w:num w:numId="13">
    <w:abstractNumId w:val="17"/>
  </w:num>
  <w:num w:numId="14">
    <w:abstractNumId w:val="1"/>
  </w:num>
  <w:num w:numId="15">
    <w:abstractNumId w:val="2"/>
  </w:num>
  <w:num w:numId="16">
    <w:abstractNumId w:val="10"/>
  </w:num>
  <w:num w:numId="17">
    <w:abstractNumId w:val="8"/>
  </w:num>
  <w:num w:numId="18">
    <w:abstractNumId w:val="14"/>
  </w:num>
  <w:num w:numId="19">
    <w:abstractNumId w:val="13"/>
  </w:num>
  <w:num w:numId="2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readOnly" w:enforcement="1" w:cryptProviderType="rsaAES" w:cryptAlgorithmClass="hash" w:cryptAlgorithmType="typeAny" w:cryptAlgorithmSid="14" w:cryptSpinCount="100000" w:hash="K4OgBtVOsZuxd7az1HQQS0LLKJF5aI0totrfPLEfq7qx0y7mU4Z7K5FwhTNYYYwVLIKkh8djijRyctQxeFFG6g==" w:salt="pfBvWP54tltkT7esmDTlnA=="/>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0F8"/>
    <w:rsid w:val="00000C18"/>
    <w:rsid w:val="00004933"/>
    <w:rsid w:val="000051AB"/>
    <w:rsid w:val="00020236"/>
    <w:rsid w:val="00021A5E"/>
    <w:rsid w:val="0002267E"/>
    <w:rsid w:val="00024216"/>
    <w:rsid w:val="0003147D"/>
    <w:rsid w:val="00034DE9"/>
    <w:rsid w:val="0004031E"/>
    <w:rsid w:val="00044D1C"/>
    <w:rsid w:val="00044E7C"/>
    <w:rsid w:val="0004537B"/>
    <w:rsid w:val="00055584"/>
    <w:rsid w:val="00056979"/>
    <w:rsid w:val="000617F5"/>
    <w:rsid w:val="0006343D"/>
    <w:rsid w:val="000643C3"/>
    <w:rsid w:val="00066508"/>
    <w:rsid w:val="0007078D"/>
    <w:rsid w:val="00071CD4"/>
    <w:rsid w:val="0007755A"/>
    <w:rsid w:val="00080B93"/>
    <w:rsid w:val="00086D84"/>
    <w:rsid w:val="00087155"/>
    <w:rsid w:val="0009328B"/>
    <w:rsid w:val="000A23D8"/>
    <w:rsid w:val="000A3C44"/>
    <w:rsid w:val="000B5669"/>
    <w:rsid w:val="000C0D07"/>
    <w:rsid w:val="000C1227"/>
    <w:rsid w:val="000C396F"/>
    <w:rsid w:val="000C3D0B"/>
    <w:rsid w:val="000D1FD8"/>
    <w:rsid w:val="000D5B31"/>
    <w:rsid w:val="000E0EF7"/>
    <w:rsid w:val="000E28D0"/>
    <w:rsid w:val="000E49C8"/>
    <w:rsid w:val="00100EA9"/>
    <w:rsid w:val="00103B66"/>
    <w:rsid w:val="0010510E"/>
    <w:rsid w:val="00110688"/>
    <w:rsid w:val="00114775"/>
    <w:rsid w:val="001229F8"/>
    <w:rsid w:val="00127EBB"/>
    <w:rsid w:val="00136751"/>
    <w:rsid w:val="00147E6F"/>
    <w:rsid w:val="00150639"/>
    <w:rsid w:val="00153FD8"/>
    <w:rsid w:val="00154F2C"/>
    <w:rsid w:val="00154F9F"/>
    <w:rsid w:val="00156C3B"/>
    <w:rsid w:val="00157C4C"/>
    <w:rsid w:val="001753DF"/>
    <w:rsid w:val="001820B7"/>
    <w:rsid w:val="00183A3B"/>
    <w:rsid w:val="00184007"/>
    <w:rsid w:val="00184087"/>
    <w:rsid w:val="001858B1"/>
    <w:rsid w:val="001933D5"/>
    <w:rsid w:val="0019589B"/>
    <w:rsid w:val="001A01D6"/>
    <w:rsid w:val="001A0394"/>
    <w:rsid w:val="001A64C8"/>
    <w:rsid w:val="001B3A82"/>
    <w:rsid w:val="001B5EBF"/>
    <w:rsid w:val="001B72C0"/>
    <w:rsid w:val="001C4C9B"/>
    <w:rsid w:val="001D19A4"/>
    <w:rsid w:val="001D2A0B"/>
    <w:rsid w:val="001D3513"/>
    <w:rsid w:val="001E0368"/>
    <w:rsid w:val="001E4839"/>
    <w:rsid w:val="001F0537"/>
    <w:rsid w:val="001F16CC"/>
    <w:rsid w:val="001F1876"/>
    <w:rsid w:val="001F2BF0"/>
    <w:rsid w:val="001F5C6F"/>
    <w:rsid w:val="001F6483"/>
    <w:rsid w:val="001F750D"/>
    <w:rsid w:val="00207909"/>
    <w:rsid w:val="00210868"/>
    <w:rsid w:val="002123BB"/>
    <w:rsid w:val="00212B29"/>
    <w:rsid w:val="00213415"/>
    <w:rsid w:val="00214DEB"/>
    <w:rsid w:val="00220562"/>
    <w:rsid w:val="0022080E"/>
    <w:rsid w:val="00240349"/>
    <w:rsid w:val="002408BE"/>
    <w:rsid w:val="00240DC8"/>
    <w:rsid w:val="00241C1B"/>
    <w:rsid w:val="0024485B"/>
    <w:rsid w:val="00244AD3"/>
    <w:rsid w:val="002478ED"/>
    <w:rsid w:val="00250410"/>
    <w:rsid w:val="00251ACE"/>
    <w:rsid w:val="00255C7C"/>
    <w:rsid w:val="002570CA"/>
    <w:rsid w:val="002616F8"/>
    <w:rsid w:val="00264472"/>
    <w:rsid w:val="002652DD"/>
    <w:rsid w:val="00266913"/>
    <w:rsid w:val="002671BF"/>
    <w:rsid w:val="00272891"/>
    <w:rsid w:val="00274F4F"/>
    <w:rsid w:val="00284D92"/>
    <w:rsid w:val="00286EBF"/>
    <w:rsid w:val="002A2413"/>
    <w:rsid w:val="002A2A3B"/>
    <w:rsid w:val="002B076C"/>
    <w:rsid w:val="002B74C8"/>
    <w:rsid w:val="002C0CA8"/>
    <w:rsid w:val="002C56CC"/>
    <w:rsid w:val="002D171A"/>
    <w:rsid w:val="002D7690"/>
    <w:rsid w:val="002E0F04"/>
    <w:rsid w:val="002E5760"/>
    <w:rsid w:val="002E630C"/>
    <w:rsid w:val="002E6E96"/>
    <w:rsid w:val="002E72A3"/>
    <w:rsid w:val="002F24E5"/>
    <w:rsid w:val="002F33D4"/>
    <w:rsid w:val="0030012E"/>
    <w:rsid w:val="0030565A"/>
    <w:rsid w:val="00306C10"/>
    <w:rsid w:val="00307DF6"/>
    <w:rsid w:val="003118D0"/>
    <w:rsid w:val="00311B13"/>
    <w:rsid w:val="003122CD"/>
    <w:rsid w:val="00313CC1"/>
    <w:rsid w:val="0031686E"/>
    <w:rsid w:val="003177D8"/>
    <w:rsid w:val="00321DE7"/>
    <w:rsid w:val="00327C90"/>
    <w:rsid w:val="00330F22"/>
    <w:rsid w:val="00332098"/>
    <w:rsid w:val="00336519"/>
    <w:rsid w:val="00337036"/>
    <w:rsid w:val="00342CAB"/>
    <w:rsid w:val="003445C6"/>
    <w:rsid w:val="003478C8"/>
    <w:rsid w:val="003521F6"/>
    <w:rsid w:val="003554D1"/>
    <w:rsid w:val="00355881"/>
    <w:rsid w:val="00374098"/>
    <w:rsid w:val="003768A4"/>
    <w:rsid w:val="00376EF9"/>
    <w:rsid w:val="003821C9"/>
    <w:rsid w:val="0038649F"/>
    <w:rsid w:val="00387559"/>
    <w:rsid w:val="003914A0"/>
    <w:rsid w:val="003A5850"/>
    <w:rsid w:val="003A7A87"/>
    <w:rsid w:val="003E0372"/>
    <w:rsid w:val="003E0AB6"/>
    <w:rsid w:val="003E0C6F"/>
    <w:rsid w:val="003E1E3C"/>
    <w:rsid w:val="003E6946"/>
    <w:rsid w:val="003F557F"/>
    <w:rsid w:val="00400958"/>
    <w:rsid w:val="00400B86"/>
    <w:rsid w:val="00412F6C"/>
    <w:rsid w:val="00420D23"/>
    <w:rsid w:val="00421C6C"/>
    <w:rsid w:val="00427094"/>
    <w:rsid w:val="004329AC"/>
    <w:rsid w:val="00432AE9"/>
    <w:rsid w:val="00440DA8"/>
    <w:rsid w:val="00444847"/>
    <w:rsid w:val="0044609A"/>
    <w:rsid w:val="00447FC3"/>
    <w:rsid w:val="004512EF"/>
    <w:rsid w:val="00454E3E"/>
    <w:rsid w:val="00456197"/>
    <w:rsid w:val="004562DE"/>
    <w:rsid w:val="00461474"/>
    <w:rsid w:val="00462B27"/>
    <w:rsid w:val="00464189"/>
    <w:rsid w:val="00472A2D"/>
    <w:rsid w:val="00474F6F"/>
    <w:rsid w:val="0047764C"/>
    <w:rsid w:val="0048094D"/>
    <w:rsid w:val="004841EF"/>
    <w:rsid w:val="00484E8F"/>
    <w:rsid w:val="00487169"/>
    <w:rsid w:val="004A1413"/>
    <w:rsid w:val="004A4A96"/>
    <w:rsid w:val="004B0C22"/>
    <w:rsid w:val="004D053E"/>
    <w:rsid w:val="004D4AF2"/>
    <w:rsid w:val="004D4EE3"/>
    <w:rsid w:val="004D6ACF"/>
    <w:rsid w:val="004E607A"/>
    <w:rsid w:val="004F3BF3"/>
    <w:rsid w:val="004F6C6A"/>
    <w:rsid w:val="00504908"/>
    <w:rsid w:val="00506085"/>
    <w:rsid w:val="00506F74"/>
    <w:rsid w:val="00507E9E"/>
    <w:rsid w:val="00512E2C"/>
    <w:rsid w:val="00514D6B"/>
    <w:rsid w:val="00523C49"/>
    <w:rsid w:val="005276B6"/>
    <w:rsid w:val="00527948"/>
    <w:rsid w:val="00531508"/>
    <w:rsid w:val="0053284C"/>
    <w:rsid w:val="00542BF6"/>
    <w:rsid w:val="00543076"/>
    <w:rsid w:val="00546B42"/>
    <w:rsid w:val="00552E3D"/>
    <w:rsid w:val="00553DDC"/>
    <w:rsid w:val="005610E3"/>
    <w:rsid w:val="0056490A"/>
    <w:rsid w:val="00566B7E"/>
    <w:rsid w:val="00570EE8"/>
    <w:rsid w:val="00573182"/>
    <w:rsid w:val="005736CF"/>
    <w:rsid w:val="00573EA4"/>
    <w:rsid w:val="00583FE9"/>
    <w:rsid w:val="00586B0C"/>
    <w:rsid w:val="00590E08"/>
    <w:rsid w:val="00594826"/>
    <w:rsid w:val="005971A9"/>
    <w:rsid w:val="0059770E"/>
    <w:rsid w:val="005A11DD"/>
    <w:rsid w:val="005B0BE7"/>
    <w:rsid w:val="005B7BB2"/>
    <w:rsid w:val="005C3844"/>
    <w:rsid w:val="005C3EF3"/>
    <w:rsid w:val="005D6FFD"/>
    <w:rsid w:val="005E2431"/>
    <w:rsid w:val="005E3C5D"/>
    <w:rsid w:val="005E55B9"/>
    <w:rsid w:val="005F1A44"/>
    <w:rsid w:val="005F44E6"/>
    <w:rsid w:val="005F4B01"/>
    <w:rsid w:val="005F63D4"/>
    <w:rsid w:val="00601572"/>
    <w:rsid w:val="006024A5"/>
    <w:rsid w:val="006025C1"/>
    <w:rsid w:val="00603B3B"/>
    <w:rsid w:val="00605E55"/>
    <w:rsid w:val="006062AB"/>
    <w:rsid w:val="006113ED"/>
    <w:rsid w:val="0061398F"/>
    <w:rsid w:val="0061679C"/>
    <w:rsid w:val="006229E1"/>
    <w:rsid w:val="006241D9"/>
    <w:rsid w:val="0063261D"/>
    <w:rsid w:val="00651609"/>
    <w:rsid w:val="00653F85"/>
    <w:rsid w:val="006574C2"/>
    <w:rsid w:val="006575E1"/>
    <w:rsid w:val="00661B44"/>
    <w:rsid w:val="00665C9A"/>
    <w:rsid w:val="0067152E"/>
    <w:rsid w:val="00680768"/>
    <w:rsid w:val="00683300"/>
    <w:rsid w:val="00684185"/>
    <w:rsid w:val="006870F8"/>
    <w:rsid w:val="00691F0B"/>
    <w:rsid w:val="00692EA1"/>
    <w:rsid w:val="00693CAE"/>
    <w:rsid w:val="00693F54"/>
    <w:rsid w:val="00694080"/>
    <w:rsid w:val="006954E0"/>
    <w:rsid w:val="006A1B3B"/>
    <w:rsid w:val="006A589A"/>
    <w:rsid w:val="006B1B0B"/>
    <w:rsid w:val="006C6ACD"/>
    <w:rsid w:val="006D4193"/>
    <w:rsid w:val="006D5DED"/>
    <w:rsid w:val="006E1685"/>
    <w:rsid w:val="006F0B94"/>
    <w:rsid w:val="006F4139"/>
    <w:rsid w:val="006F7E6D"/>
    <w:rsid w:val="00705B9E"/>
    <w:rsid w:val="00715783"/>
    <w:rsid w:val="0071643A"/>
    <w:rsid w:val="00717C73"/>
    <w:rsid w:val="00720665"/>
    <w:rsid w:val="00722876"/>
    <w:rsid w:val="00723472"/>
    <w:rsid w:val="00732AE6"/>
    <w:rsid w:val="00733A63"/>
    <w:rsid w:val="00737395"/>
    <w:rsid w:val="00743D57"/>
    <w:rsid w:val="007444C5"/>
    <w:rsid w:val="00750651"/>
    <w:rsid w:val="007507C0"/>
    <w:rsid w:val="00750EB4"/>
    <w:rsid w:val="0075189D"/>
    <w:rsid w:val="007527BF"/>
    <w:rsid w:val="00754050"/>
    <w:rsid w:val="007548ED"/>
    <w:rsid w:val="0075748C"/>
    <w:rsid w:val="00757F2A"/>
    <w:rsid w:val="00760290"/>
    <w:rsid w:val="007602D6"/>
    <w:rsid w:val="00761CAB"/>
    <w:rsid w:val="00761EBF"/>
    <w:rsid w:val="00767B44"/>
    <w:rsid w:val="00777F8D"/>
    <w:rsid w:val="0078134C"/>
    <w:rsid w:val="0078279F"/>
    <w:rsid w:val="00783F15"/>
    <w:rsid w:val="00785341"/>
    <w:rsid w:val="00790B58"/>
    <w:rsid w:val="007A29C5"/>
    <w:rsid w:val="007A3AF5"/>
    <w:rsid w:val="007A3F81"/>
    <w:rsid w:val="007A77C7"/>
    <w:rsid w:val="007B12D9"/>
    <w:rsid w:val="007B389E"/>
    <w:rsid w:val="007B5051"/>
    <w:rsid w:val="007B75EB"/>
    <w:rsid w:val="007C2BCF"/>
    <w:rsid w:val="007D018B"/>
    <w:rsid w:val="007D18F7"/>
    <w:rsid w:val="007D6797"/>
    <w:rsid w:val="007E136A"/>
    <w:rsid w:val="007E5113"/>
    <w:rsid w:val="007F416A"/>
    <w:rsid w:val="007F744F"/>
    <w:rsid w:val="00806BCC"/>
    <w:rsid w:val="00807B2C"/>
    <w:rsid w:val="00813C2A"/>
    <w:rsid w:val="00817CBC"/>
    <w:rsid w:val="00823BD0"/>
    <w:rsid w:val="008262FA"/>
    <w:rsid w:val="00826A36"/>
    <w:rsid w:val="008413AC"/>
    <w:rsid w:val="00841EDD"/>
    <w:rsid w:val="00856A68"/>
    <w:rsid w:val="00862D48"/>
    <w:rsid w:val="00863741"/>
    <w:rsid w:val="00875403"/>
    <w:rsid w:val="00876B70"/>
    <w:rsid w:val="0087766C"/>
    <w:rsid w:val="0088178F"/>
    <w:rsid w:val="00883669"/>
    <w:rsid w:val="008837E9"/>
    <w:rsid w:val="00884339"/>
    <w:rsid w:val="0088660A"/>
    <w:rsid w:val="008908D4"/>
    <w:rsid w:val="00890DD4"/>
    <w:rsid w:val="008929DF"/>
    <w:rsid w:val="0089384A"/>
    <w:rsid w:val="008938E6"/>
    <w:rsid w:val="00894003"/>
    <w:rsid w:val="0089502D"/>
    <w:rsid w:val="008B09AE"/>
    <w:rsid w:val="008B249C"/>
    <w:rsid w:val="008B2BD7"/>
    <w:rsid w:val="008B3F02"/>
    <w:rsid w:val="008C096F"/>
    <w:rsid w:val="008C2DF9"/>
    <w:rsid w:val="008C3000"/>
    <w:rsid w:val="008C710F"/>
    <w:rsid w:val="008D30F8"/>
    <w:rsid w:val="008D45DD"/>
    <w:rsid w:val="008D4D2B"/>
    <w:rsid w:val="008D6473"/>
    <w:rsid w:val="008E13A7"/>
    <w:rsid w:val="008E727A"/>
    <w:rsid w:val="008F0DFE"/>
    <w:rsid w:val="008F23E4"/>
    <w:rsid w:val="008F2D7A"/>
    <w:rsid w:val="008F4E1B"/>
    <w:rsid w:val="008F63AC"/>
    <w:rsid w:val="00901357"/>
    <w:rsid w:val="009058EC"/>
    <w:rsid w:val="00905DAA"/>
    <w:rsid w:val="009070D7"/>
    <w:rsid w:val="0092366A"/>
    <w:rsid w:val="0092788F"/>
    <w:rsid w:val="00931EE9"/>
    <w:rsid w:val="00932C4D"/>
    <w:rsid w:val="00936384"/>
    <w:rsid w:val="00937487"/>
    <w:rsid w:val="00942365"/>
    <w:rsid w:val="00952EF6"/>
    <w:rsid w:val="00953C45"/>
    <w:rsid w:val="00961877"/>
    <w:rsid w:val="00963D93"/>
    <w:rsid w:val="009654E1"/>
    <w:rsid w:val="00966558"/>
    <w:rsid w:val="00966BCC"/>
    <w:rsid w:val="0096794F"/>
    <w:rsid w:val="00976AED"/>
    <w:rsid w:val="009778EB"/>
    <w:rsid w:val="00984305"/>
    <w:rsid w:val="009864FF"/>
    <w:rsid w:val="00990A54"/>
    <w:rsid w:val="00997A4C"/>
    <w:rsid w:val="009A4B0C"/>
    <w:rsid w:val="009B2681"/>
    <w:rsid w:val="009B6EED"/>
    <w:rsid w:val="009B7D3D"/>
    <w:rsid w:val="009C110C"/>
    <w:rsid w:val="009C1F0E"/>
    <w:rsid w:val="009C46C3"/>
    <w:rsid w:val="009C6472"/>
    <w:rsid w:val="009F079D"/>
    <w:rsid w:val="009F2B79"/>
    <w:rsid w:val="009F3C7A"/>
    <w:rsid w:val="009F7852"/>
    <w:rsid w:val="00A021C1"/>
    <w:rsid w:val="00A106DB"/>
    <w:rsid w:val="00A108D9"/>
    <w:rsid w:val="00A150DC"/>
    <w:rsid w:val="00A17DE2"/>
    <w:rsid w:val="00A23BFA"/>
    <w:rsid w:val="00A23C50"/>
    <w:rsid w:val="00A24687"/>
    <w:rsid w:val="00A25432"/>
    <w:rsid w:val="00A26840"/>
    <w:rsid w:val="00A30827"/>
    <w:rsid w:val="00A32067"/>
    <w:rsid w:val="00A321C8"/>
    <w:rsid w:val="00A361F4"/>
    <w:rsid w:val="00A37C75"/>
    <w:rsid w:val="00A425E3"/>
    <w:rsid w:val="00A46B79"/>
    <w:rsid w:val="00A64A9D"/>
    <w:rsid w:val="00A672A8"/>
    <w:rsid w:val="00A67A72"/>
    <w:rsid w:val="00A70B21"/>
    <w:rsid w:val="00A73C84"/>
    <w:rsid w:val="00A77246"/>
    <w:rsid w:val="00A81828"/>
    <w:rsid w:val="00A822CD"/>
    <w:rsid w:val="00A865AF"/>
    <w:rsid w:val="00A94D03"/>
    <w:rsid w:val="00A96791"/>
    <w:rsid w:val="00A97995"/>
    <w:rsid w:val="00AA0360"/>
    <w:rsid w:val="00AA5D4E"/>
    <w:rsid w:val="00AA7696"/>
    <w:rsid w:val="00AB5654"/>
    <w:rsid w:val="00AC2155"/>
    <w:rsid w:val="00AC25DB"/>
    <w:rsid w:val="00AC2FB1"/>
    <w:rsid w:val="00AC672E"/>
    <w:rsid w:val="00AD0F5B"/>
    <w:rsid w:val="00AD599E"/>
    <w:rsid w:val="00AD700F"/>
    <w:rsid w:val="00AE07C1"/>
    <w:rsid w:val="00AE1816"/>
    <w:rsid w:val="00AE1C5C"/>
    <w:rsid w:val="00AE46E8"/>
    <w:rsid w:val="00AE59E1"/>
    <w:rsid w:val="00AF0A12"/>
    <w:rsid w:val="00AF27C9"/>
    <w:rsid w:val="00AF4CF9"/>
    <w:rsid w:val="00AF645A"/>
    <w:rsid w:val="00B1289A"/>
    <w:rsid w:val="00B172B5"/>
    <w:rsid w:val="00B20237"/>
    <w:rsid w:val="00B21B5D"/>
    <w:rsid w:val="00B23791"/>
    <w:rsid w:val="00B24AE4"/>
    <w:rsid w:val="00B32613"/>
    <w:rsid w:val="00B33D41"/>
    <w:rsid w:val="00B3651B"/>
    <w:rsid w:val="00B36C17"/>
    <w:rsid w:val="00B41071"/>
    <w:rsid w:val="00B414C7"/>
    <w:rsid w:val="00B4278F"/>
    <w:rsid w:val="00B44A51"/>
    <w:rsid w:val="00B4553B"/>
    <w:rsid w:val="00B45F7B"/>
    <w:rsid w:val="00B505A4"/>
    <w:rsid w:val="00B540C4"/>
    <w:rsid w:val="00B54140"/>
    <w:rsid w:val="00B63519"/>
    <w:rsid w:val="00B71E8C"/>
    <w:rsid w:val="00B768EB"/>
    <w:rsid w:val="00B775CA"/>
    <w:rsid w:val="00B807CA"/>
    <w:rsid w:val="00B82298"/>
    <w:rsid w:val="00B90CAD"/>
    <w:rsid w:val="00B91EDD"/>
    <w:rsid w:val="00B95ED7"/>
    <w:rsid w:val="00BA1A78"/>
    <w:rsid w:val="00BA238D"/>
    <w:rsid w:val="00BB40DD"/>
    <w:rsid w:val="00BB6B1A"/>
    <w:rsid w:val="00BC03F6"/>
    <w:rsid w:val="00BC23C5"/>
    <w:rsid w:val="00BC497B"/>
    <w:rsid w:val="00BC53BE"/>
    <w:rsid w:val="00BD1DEB"/>
    <w:rsid w:val="00BE0BA1"/>
    <w:rsid w:val="00BE376D"/>
    <w:rsid w:val="00BE7172"/>
    <w:rsid w:val="00BE78D9"/>
    <w:rsid w:val="00BF1705"/>
    <w:rsid w:val="00BF3A9C"/>
    <w:rsid w:val="00BF4C59"/>
    <w:rsid w:val="00BF6260"/>
    <w:rsid w:val="00C004E8"/>
    <w:rsid w:val="00C054C1"/>
    <w:rsid w:val="00C074CA"/>
    <w:rsid w:val="00C07960"/>
    <w:rsid w:val="00C13500"/>
    <w:rsid w:val="00C2478A"/>
    <w:rsid w:val="00C25483"/>
    <w:rsid w:val="00C30D7A"/>
    <w:rsid w:val="00C45AA4"/>
    <w:rsid w:val="00C502BF"/>
    <w:rsid w:val="00C55154"/>
    <w:rsid w:val="00C61F36"/>
    <w:rsid w:val="00C6305C"/>
    <w:rsid w:val="00C6413F"/>
    <w:rsid w:val="00C64DE9"/>
    <w:rsid w:val="00C65E43"/>
    <w:rsid w:val="00C709C9"/>
    <w:rsid w:val="00C762A3"/>
    <w:rsid w:val="00C767E1"/>
    <w:rsid w:val="00C80291"/>
    <w:rsid w:val="00C82F73"/>
    <w:rsid w:val="00C84360"/>
    <w:rsid w:val="00C844DD"/>
    <w:rsid w:val="00C87C06"/>
    <w:rsid w:val="00C87F7C"/>
    <w:rsid w:val="00C91A3C"/>
    <w:rsid w:val="00C96302"/>
    <w:rsid w:val="00C97450"/>
    <w:rsid w:val="00CA4E97"/>
    <w:rsid w:val="00CA595E"/>
    <w:rsid w:val="00CA60A8"/>
    <w:rsid w:val="00CB506F"/>
    <w:rsid w:val="00CC21C4"/>
    <w:rsid w:val="00CE4F74"/>
    <w:rsid w:val="00CE563A"/>
    <w:rsid w:val="00CF03DB"/>
    <w:rsid w:val="00D03D6D"/>
    <w:rsid w:val="00D03E4F"/>
    <w:rsid w:val="00D06121"/>
    <w:rsid w:val="00D0782E"/>
    <w:rsid w:val="00D103BE"/>
    <w:rsid w:val="00D1458F"/>
    <w:rsid w:val="00D14645"/>
    <w:rsid w:val="00D16C50"/>
    <w:rsid w:val="00D16C83"/>
    <w:rsid w:val="00D170BD"/>
    <w:rsid w:val="00D17D3F"/>
    <w:rsid w:val="00D22442"/>
    <w:rsid w:val="00D23FA1"/>
    <w:rsid w:val="00D24153"/>
    <w:rsid w:val="00D32B88"/>
    <w:rsid w:val="00D32D82"/>
    <w:rsid w:val="00D3537C"/>
    <w:rsid w:val="00D362C0"/>
    <w:rsid w:val="00D40568"/>
    <w:rsid w:val="00D439D4"/>
    <w:rsid w:val="00D455F7"/>
    <w:rsid w:val="00D4749B"/>
    <w:rsid w:val="00D51151"/>
    <w:rsid w:val="00D558EF"/>
    <w:rsid w:val="00D56778"/>
    <w:rsid w:val="00D65921"/>
    <w:rsid w:val="00D66204"/>
    <w:rsid w:val="00D66EFF"/>
    <w:rsid w:val="00D72D50"/>
    <w:rsid w:val="00D73752"/>
    <w:rsid w:val="00D819B9"/>
    <w:rsid w:val="00D82B76"/>
    <w:rsid w:val="00D832F8"/>
    <w:rsid w:val="00D92B7F"/>
    <w:rsid w:val="00D94577"/>
    <w:rsid w:val="00D95EC2"/>
    <w:rsid w:val="00D95F41"/>
    <w:rsid w:val="00D9747A"/>
    <w:rsid w:val="00DA2CAB"/>
    <w:rsid w:val="00DB1C3E"/>
    <w:rsid w:val="00DB28F9"/>
    <w:rsid w:val="00DB6A82"/>
    <w:rsid w:val="00DC0426"/>
    <w:rsid w:val="00DC3466"/>
    <w:rsid w:val="00DC68D4"/>
    <w:rsid w:val="00DD05AE"/>
    <w:rsid w:val="00DD2AF3"/>
    <w:rsid w:val="00DF0033"/>
    <w:rsid w:val="00DF0B77"/>
    <w:rsid w:val="00DF2EB0"/>
    <w:rsid w:val="00DF528B"/>
    <w:rsid w:val="00E167AC"/>
    <w:rsid w:val="00E21D1B"/>
    <w:rsid w:val="00E23022"/>
    <w:rsid w:val="00E2522C"/>
    <w:rsid w:val="00E32DC7"/>
    <w:rsid w:val="00E41947"/>
    <w:rsid w:val="00E430C7"/>
    <w:rsid w:val="00E549F5"/>
    <w:rsid w:val="00E56DC4"/>
    <w:rsid w:val="00E56F21"/>
    <w:rsid w:val="00E576B0"/>
    <w:rsid w:val="00E60BB4"/>
    <w:rsid w:val="00E6457B"/>
    <w:rsid w:val="00E74527"/>
    <w:rsid w:val="00E74E36"/>
    <w:rsid w:val="00E7577F"/>
    <w:rsid w:val="00E85C28"/>
    <w:rsid w:val="00E877DE"/>
    <w:rsid w:val="00E87DE6"/>
    <w:rsid w:val="00E921A6"/>
    <w:rsid w:val="00E95FC9"/>
    <w:rsid w:val="00E9643B"/>
    <w:rsid w:val="00E9713F"/>
    <w:rsid w:val="00EA34FD"/>
    <w:rsid w:val="00EA3831"/>
    <w:rsid w:val="00EA3A32"/>
    <w:rsid w:val="00EA3E38"/>
    <w:rsid w:val="00EA4281"/>
    <w:rsid w:val="00EA4C8A"/>
    <w:rsid w:val="00EB0CEA"/>
    <w:rsid w:val="00EB242E"/>
    <w:rsid w:val="00EB2709"/>
    <w:rsid w:val="00EC40D1"/>
    <w:rsid w:val="00EC61B5"/>
    <w:rsid w:val="00EC6DEB"/>
    <w:rsid w:val="00EC7495"/>
    <w:rsid w:val="00ED1571"/>
    <w:rsid w:val="00ED7319"/>
    <w:rsid w:val="00EE3A75"/>
    <w:rsid w:val="00EE78B9"/>
    <w:rsid w:val="00EF1357"/>
    <w:rsid w:val="00EF1B7E"/>
    <w:rsid w:val="00F00558"/>
    <w:rsid w:val="00F010D9"/>
    <w:rsid w:val="00F0443D"/>
    <w:rsid w:val="00F05CA8"/>
    <w:rsid w:val="00F11BC1"/>
    <w:rsid w:val="00F14108"/>
    <w:rsid w:val="00F14FAE"/>
    <w:rsid w:val="00F1594D"/>
    <w:rsid w:val="00F16094"/>
    <w:rsid w:val="00F174E9"/>
    <w:rsid w:val="00F228E3"/>
    <w:rsid w:val="00F27C9B"/>
    <w:rsid w:val="00F344C5"/>
    <w:rsid w:val="00F3606F"/>
    <w:rsid w:val="00F3695D"/>
    <w:rsid w:val="00F37B09"/>
    <w:rsid w:val="00F47F31"/>
    <w:rsid w:val="00F51DD9"/>
    <w:rsid w:val="00F55A1C"/>
    <w:rsid w:val="00F5632D"/>
    <w:rsid w:val="00F647ED"/>
    <w:rsid w:val="00F66663"/>
    <w:rsid w:val="00F707F9"/>
    <w:rsid w:val="00F70D05"/>
    <w:rsid w:val="00F71F2D"/>
    <w:rsid w:val="00F73DEC"/>
    <w:rsid w:val="00F745B0"/>
    <w:rsid w:val="00F84799"/>
    <w:rsid w:val="00F85988"/>
    <w:rsid w:val="00F863D8"/>
    <w:rsid w:val="00F87692"/>
    <w:rsid w:val="00F921A8"/>
    <w:rsid w:val="00F95D8F"/>
    <w:rsid w:val="00F968D4"/>
    <w:rsid w:val="00FA458C"/>
    <w:rsid w:val="00FA61DD"/>
    <w:rsid w:val="00FB3B76"/>
    <w:rsid w:val="00FD08D8"/>
    <w:rsid w:val="00FD57AB"/>
    <w:rsid w:val="00FD69E1"/>
    <w:rsid w:val="00FF0D57"/>
    <w:rsid w:val="00FF4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89995"/>
  <w15:docId w15:val="{0D44BD4D-EF6F-41DD-B9BB-E754D6B2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C50"/>
  </w:style>
  <w:style w:type="paragraph" w:styleId="Heading1">
    <w:name w:val="heading 1"/>
    <w:basedOn w:val="Normal"/>
    <w:next w:val="Normal"/>
    <w:link w:val="Heading1Char"/>
    <w:qFormat/>
    <w:rsid w:val="00264472"/>
    <w:pPr>
      <w:keepNext/>
      <w:spacing w:after="0" w:line="240" w:lineRule="auto"/>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1">
    <w:name w:val="list1"/>
    <w:next w:val="Normal"/>
    <w:uiPriority w:val="99"/>
    <w:rsid w:val="009778EB"/>
    <w:pPr>
      <w:spacing w:after="0" w:line="220" w:lineRule="exact"/>
      <w:ind w:left="360" w:hanging="360"/>
      <w:jc w:val="both"/>
    </w:pPr>
    <w:rPr>
      <w:rFonts w:ascii="Times New Roman" w:eastAsia="Times New Roman" w:hAnsi="Times New Roman" w:cs="Times New Roman"/>
      <w:sz w:val="20"/>
      <w:szCs w:val="20"/>
    </w:rPr>
  </w:style>
  <w:style w:type="paragraph" w:styleId="ListParagraph">
    <w:name w:val="List Paragraph"/>
    <w:basedOn w:val="Normal"/>
    <w:uiPriority w:val="1"/>
    <w:qFormat/>
    <w:rsid w:val="009778EB"/>
    <w:pPr>
      <w:ind w:left="720"/>
      <w:contextualSpacing/>
    </w:pPr>
  </w:style>
  <w:style w:type="character" w:styleId="Hyperlink">
    <w:name w:val="Hyperlink"/>
    <w:basedOn w:val="DefaultParagraphFont"/>
    <w:rsid w:val="009778EB"/>
    <w:rPr>
      <w:color w:val="0000FF"/>
      <w:u w:val="single"/>
    </w:rPr>
  </w:style>
  <w:style w:type="character" w:styleId="CommentReference">
    <w:name w:val="annotation reference"/>
    <w:basedOn w:val="DefaultParagraphFont"/>
    <w:uiPriority w:val="99"/>
    <w:semiHidden/>
    <w:unhideWhenUsed/>
    <w:rsid w:val="00D9747A"/>
    <w:rPr>
      <w:sz w:val="16"/>
      <w:szCs w:val="16"/>
    </w:rPr>
  </w:style>
  <w:style w:type="paragraph" w:styleId="CommentText">
    <w:name w:val="annotation text"/>
    <w:basedOn w:val="Normal"/>
    <w:link w:val="CommentTextChar"/>
    <w:uiPriority w:val="99"/>
    <w:semiHidden/>
    <w:unhideWhenUsed/>
    <w:rsid w:val="00D9747A"/>
    <w:pPr>
      <w:spacing w:line="240" w:lineRule="auto"/>
    </w:pPr>
    <w:rPr>
      <w:sz w:val="20"/>
      <w:szCs w:val="20"/>
    </w:rPr>
  </w:style>
  <w:style w:type="character" w:customStyle="1" w:styleId="CommentTextChar">
    <w:name w:val="Comment Text Char"/>
    <w:basedOn w:val="DefaultParagraphFont"/>
    <w:link w:val="CommentText"/>
    <w:uiPriority w:val="99"/>
    <w:semiHidden/>
    <w:rsid w:val="00D9747A"/>
    <w:rPr>
      <w:sz w:val="20"/>
      <w:szCs w:val="20"/>
    </w:rPr>
  </w:style>
  <w:style w:type="paragraph" w:styleId="CommentSubject">
    <w:name w:val="annotation subject"/>
    <w:basedOn w:val="CommentText"/>
    <w:next w:val="CommentText"/>
    <w:link w:val="CommentSubjectChar"/>
    <w:uiPriority w:val="99"/>
    <w:semiHidden/>
    <w:unhideWhenUsed/>
    <w:rsid w:val="00D9747A"/>
    <w:rPr>
      <w:b/>
      <w:bCs/>
    </w:rPr>
  </w:style>
  <w:style w:type="character" w:customStyle="1" w:styleId="CommentSubjectChar">
    <w:name w:val="Comment Subject Char"/>
    <w:basedOn w:val="CommentTextChar"/>
    <w:link w:val="CommentSubject"/>
    <w:uiPriority w:val="99"/>
    <w:semiHidden/>
    <w:rsid w:val="00D9747A"/>
    <w:rPr>
      <w:b/>
      <w:bCs/>
      <w:sz w:val="20"/>
      <w:szCs w:val="20"/>
    </w:rPr>
  </w:style>
  <w:style w:type="paragraph" w:styleId="BalloonText">
    <w:name w:val="Balloon Text"/>
    <w:basedOn w:val="Normal"/>
    <w:link w:val="BalloonTextChar"/>
    <w:uiPriority w:val="99"/>
    <w:semiHidden/>
    <w:unhideWhenUsed/>
    <w:rsid w:val="00D97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47A"/>
    <w:rPr>
      <w:rFonts w:ascii="Tahoma" w:hAnsi="Tahoma" w:cs="Tahoma"/>
      <w:sz w:val="16"/>
      <w:szCs w:val="16"/>
    </w:rPr>
  </w:style>
  <w:style w:type="paragraph" w:styleId="Revision">
    <w:name w:val="Revision"/>
    <w:hidden/>
    <w:uiPriority w:val="99"/>
    <w:semiHidden/>
    <w:rsid w:val="00C004E8"/>
    <w:pPr>
      <w:spacing w:after="0" w:line="240" w:lineRule="auto"/>
    </w:pPr>
  </w:style>
  <w:style w:type="character" w:customStyle="1" w:styleId="Heading1Char">
    <w:name w:val="Heading 1 Char"/>
    <w:basedOn w:val="DefaultParagraphFont"/>
    <w:link w:val="Heading1"/>
    <w:rsid w:val="00264472"/>
    <w:rPr>
      <w:rFonts w:ascii="Times New Roman" w:eastAsia="Times New Roman" w:hAnsi="Times New Roman" w:cs="Times New Roman"/>
      <w:b/>
      <w:sz w:val="20"/>
      <w:szCs w:val="20"/>
    </w:rPr>
  </w:style>
  <w:style w:type="paragraph" w:styleId="Footer">
    <w:name w:val="footer"/>
    <w:basedOn w:val="Normal"/>
    <w:link w:val="FooterChar"/>
    <w:unhideWhenUsed/>
    <w:rsid w:val="00064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3C3"/>
  </w:style>
  <w:style w:type="paragraph" w:styleId="Header">
    <w:name w:val="header"/>
    <w:basedOn w:val="Normal"/>
    <w:link w:val="HeaderChar"/>
    <w:uiPriority w:val="99"/>
    <w:unhideWhenUsed/>
    <w:rsid w:val="00064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C3"/>
  </w:style>
  <w:style w:type="character" w:styleId="FollowedHyperlink">
    <w:name w:val="FollowedHyperlink"/>
    <w:basedOn w:val="DefaultParagraphFont"/>
    <w:uiPriority w:val="99"/>
    <w:semiHidden/>
    <w:unhideWhenUsed/>
    <w:rsid w:val="005736CF"/>
    <w:rPr>
      <w:color w:val="800080" w:themeColor="followedHyperlink"/>
      <w:u w:val="single"/>
    </w:rPr>
  </w:style>
  <w:style w:type="paragraph" w:customStyle="1" w:styleId="list1para">
    <w:name w:val="list_1para"/>
    <w:basedOn w:val="Normal"/>
    <w:rsid w:val="008C3000"/>
    <w:pPr>
      <w:widowControl w:val="0"/>
      <w:spacing w:before="120" w:after="120" w:line="240" w:lineRule="auto"/>
      <w:ind w:left="540"/>
    </w:pPr>
    <w:rPr>
      <w:rFonts w:ascii="Courier New" w:eastAsia="Times New Roman" w:hAnsi="Courier New" w:cs="Times New Roman"/>
      <w:sz w:val="20"/>
      <w:szCs w:val="20"/>
    </w:rPr>
  </w:style>
  <w:style w:type="paragraph" w:customStyle="1" w:styleId="SectionHead">
    <w:name w:val="Section Head"/>
    <w:basedOn w:val="Normal"/>
    <w:rsid w:val="00C97450"/>
    <w:pPr>
      <w:spacing w:after="240" w:line="360" w:lineRule="exact"/>
      <w:jc w:val="center"/>
    </w:pPr>
    <w:rPr>
      <w:rFonts w:ascii="Arial" w:eastAsia="Times New Roman" w:hAnsi="Arial" w:cs="Times New Roman"/>
      <w:b/>
      <w:caps/>
      <w:sz w:val="28"/>
      <w:szCs w:val="20"/>
    </w:rPr>
  </w:style>
  <w:style w:type="table" w:styleId="TableGrid">
    <w:name w:val="Table Grid"/>
    <w:basedOn w:val="TableNormal"/>
    <w:uiPriority w:val="59"/>
    <w:rsid w:val="001D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04933"/>
  </w:style>
  <w:style w:type="paragraph" w:customStyle="1" w:styleId="list1">
    <w:name w:val="list_1"/>
    <w:basedOn w:val="Normal"/>
    <w:rsid w:val="00004933"/>
    <w:pPr>
      <w:widowControl w:val="0"/>
      <w:numPr>
        <w:numId w:val="3"/>
      </w:numPr>
      <w:spacing w:before="120" w:after="120" w:line="240" w:lineRule="auto"/>
      <w:jc w:val="both"/>
    </w:pPr>
    <w:rPr>
      <w:rFonts w:ascii="Times New Roman" w:eastAsia="Times New Roman" w:hAnsi="Times New Roman" w:cs="Times New Roman"/>
      <w:sz w:val="20"/>
      <w:szCs w:val="20"/>
    </w:rPr>
  </w:style>
  <w:style w:type="paragraph" w:customStyle="1" w:styleId="list10">
    <w:name w:val="list_(1)"/>
    <w:basedOn w:val="Normal"/>
    <w:rsid w:val="00D0782E"/>
    <w:pPr>
      <w:widowControl w:val="0"/>
      <w:numPr>
        <w:numId w:val="5"/>
      </w:numPr>
      <w:spacing w:before="120" w:after="120" w:line="240" w:lineRule="auto"/>
    </w:pPr>
    <w:rPr>
      <w:rFonts w:ascii="Courier New" w:eastAsia="Times New Roman" w:hAnsi="Courier New" w:cs="Times New Roman"/>
      <w:sz w:val="20"/>
      <w:szCs w:val="20"/>
    </w:rPr>
  </w:style>
  <w:style w:type="paragraph" w:customStyle="1" w:styleId="listaitype">
    <w:name w:val="list_(a)_(i)_type"/>
    <w:basedOn w:val="Normal"/>
    <w:rsid w:val="00D0782E"/>
    <w:pPr>
      <w:widowControl w:val="0"/>
      <w:tabs>
        <w:tab w:val="left" w:pos="2160"/>
      </w:tabs>
      <w:spacing w:before="120" w:after="120" w:line="240" w:lineRule="auto"/>
    </w:pPr>
    <w:rPr>
      <w:rFonts w:ascii="Courier New" w:eastAsia="Times New Roman" w:hAnsi="Courier New" w:cs="Times New Roman"/>
      <w:sz w:val="20"/>
      <w:szCs w:val="20"/>
    </w:rPr>
  </w:style>
  <w:style w:type="paragraph" w:styleId="BodyTextIndent2">
    <w:name w:val="Body Text Indent 2"/>
    <w:basedOn w:val="Normal"/>
    <w:link w:val="BodyTextIndent2Char"/>
    <w:semiHidden/>
    <w:rsid w:val="00D0782E"/>
    <w:pPr>
      <w:tabs>
        <w:tab w:val="left" w:pos="1140"/>
        <w:tab w:val="left" w:pos="1800"/>
      </w:tabs>
      <w:spacing w:before="120" w:after="120" w:line="240" w:lineRule="auto"/>
      <w:ind w:left="1800" w:hanging="1260"/>
    </w:pPr>
    <w:rPr>
      <w:rFonts w:ascii="Courier New" w:eastAsia="Times New Roman" w:hAnsi="Courier New" w:cs="Times New Roman"/>
      <w:sz w:val="20"/>
      <w:szCs w:val="20"/>
    </w:rPr>
  </w:style>
  <w:style w:type="character" w:customStyle="1" w:styleId="BodyTextIndent2Char">
    <w:name w:val="Body Text Indent 2 Char"/>
    <w:basedOn w:val="DefaultParagraphFont"/>
    <w:link w:val="BodyTextIndent2"/>
    <w:semiHidden/>
    <w:rsid w:val="00D0782E"/>
    <w:rPr>
      <w:rFonts w:ascii="Courier New" w:eastAsia="Times New Roman" w:hAnsi="Courier New" w:cs="Times New Roman"/>
      <w:sz w:val="20"/>
      <w:szCs w:val="20"/>
    </w:rPr>
  </w:style>
  <w:style w:type="paragraph" w:customStyle="1" w:styleId="2x2note">
    <w:name w:val="2x2:note"/>
    <w:rsid w:val="00B1289A"/>
    <w:pPr>
      <w:widowControl w:val="0"/>
      <w:tabs>
        <w:tab w:val="left" w:pos="0"/>
        <w:tab w:val="left" w:pos="720"/>
        <w:tab w:val="left" w:pos="1440"/>
        <w:tab w:val="left" w:pos="2160"/>
      </w:tabs>
      <w:spacing w:before="21" w:after="43" w:line="222"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2480">
      <w:bodyDiv w:val="1"/>
      <w:marLeft w:val="0"/>
      <w:marRight w:val="0"/>
      <w:marTop w:val="0"/>
      <w:marBottom w:val="0"/>
      <w:divBdr>
        <w:top w:val="none" w:sz="0" w:space="0" w:color="auto"/>
        <w:left w:val="none" w:sz="0" w:space="0" w:color="auto"/>
        <w:bottom w:val="none" w:sz="0" w:space="0" w:color="auto"/>
        <w:right w:val="none" w:sz="0" w:space="0" w:color="auto"/>
      </w:divBdr>
    </w:div>
    <w:div w:id="196704187">
      <w:bodyDiv w:val="1"/>
      <w:marLeft w:val="0"/>
      <w:marRight w:val="0"/>
      <w:marTop w:val="0"/>
      <w:marBottom w:val="0"/>
      <w:divBdr>
        <w:top w:val="none" w:sz="0" w:space="0" w:color="auto"/>
        <w:left w:val="none" w:sz="0" w:space="0" w:color="auto"/>
        <w:bottom w:val="none" w:sz="0" w:space="0" w:color="auto"/>
        <w:right w:val="none" w:sz="0" w:space="0" w:color="auto"/>
      </w:divBdr>
    </w:div>
    <w:div w:id="284777301">
      <w:bodyDiv w:val="1"/>
      <w:marLeft w:val="0"/>
      <w:marRight w:val="0"/>
      <w:marTop w:val="0"/>
      <w:marBottom w:val="0"/>
      <w:divBdr>
        <w:top w:val="none" w:sz="0" w:space="0" w:color="auto"/>
        <w:left w:val="none" w:sz="0" w:space="0" w:color="auto"/>
        <w:bottom w:val="none" w:sz="0" w:space="0" w:color="auto"/>
        <w:right w:val="none" w:sz="0" w:space="0" w:color="auto"/>
      </w:divBdr>
    </w:div>
    <w:div w:id="461071672">
      <w:bodyDiv w:val="1"/>
      <w:marLeft w:val="0"/>
      <w:marRight w:val="0"/>
      <w:marTop w:val="0"/>
      <w:marBottom w:val="0"/>
      <w:divBdr>
        <w:top w:val="none" w:sz="0" w:space="0" w:color="auto"/>
        <w:left w:val="none" w:sz="0" w:space="0" w:color="auto"/>
        <w:bottom w:val="none" w:sz="0" w:space="0" w:color="auto"/>
        <w:right w:val="none" w:sz="0" w:space="0" w:color="auto"/>
      </w:divBdr>
    </w:div>
    <w:div w:id="778648280">
      <w:bodyDiv w:val="1"/>
      <w:marLeft w:val="0"/>
      <w:marRight w:val="0"/>
      <w:marTop w:val="0"/>
      <w:marBottom w:val="0"/>
      <w:divBdr>
        <w:top w:val="none" w:sz="0" w:space="0" w:color="auto"/>
        <w:left w:val="none" w:sz="0" w:space="0" w:color="auto"/>
        <w:bottom w:val="none" w:sz="0" w:space="0" w:color="auto"/>
        <w:right w:val="none" w:sz="0" w:space="0" w:color="auto"/>
      </w:divBdr>
    </w:div>
    <w:div w:id="850682242">
      <w:bodyDiv w:val="1"/>
      <w:marLeft w:val="0"/>
      <w:marRight w:val="0"/>
      <w:marTop w:val="0"/>
      <w:marBottom w:val="0"/>
      <w:divBdr>
        <w:top w:val="none" w:sz="0" w:space="0" w:color="auto"/>
        <w:left w:val="none" w:sz="0" w:space="0" w:color="auto"/>
        <w:bottom w:val="none" w:sz="0" w:space="0" w:color="auto"/>
        <w:right w:val="none" w:sz="0" w:space="0" w:color="auto"/>
      </w:divBdr>
    </w:div>
    <w:div w:id="887229372">
      <w:bodyDiv w:val="1"/>
      <w:marLeft w:val="0"/>
      <w:marRight w:val="0"/>
      <w:marTop w:val="0"/>
      <w:marBottom w:val="0"/>
      <w:divBdr>
        <w:top w:val="none" w:sz="0" w:space="0" w:color="auto"/>
        <w:left w:val="none" w:sz="0" w:space="0" w:color="auto"/>
        <w:bottom w:val="none" w:sz="0" w:space="0" w:color="auto"/>
        <w:right w:val="none" w:sz="0" w:space="0" w:color="auto"/>
      </w:divBdr>
    </w:div>
    <w:div w:id="1163930025">
      <w:bodyDiv w:val="1"/>
      <w:marLeft w:val="0"/>
      <w:marRight w:val="0"/>
      <w:marTop w:val="0"/>
      <w:marBottom w:val="0"/>
      <w:divBdr>
        <w:top w:val="none" w:sz="0" w:space="0" w:color="auto"/>
        <w:left w:val="none" w:sz="0" w:space="0" w:color="auto"/>
        <w:bottom w:val="none" w:sz="0" w:space="0" w:color="auto"/>
        <w:right w:val="none" w:sz="0" w:space="0" w:color="auto"/>
      </w:divBdr>
    </w:div>
    <w:div w:id="1199319726">
      <w:bodyDiv w:val="1"/>
      <w:marLeft w:val="0"/>
      <w:marRight w:val="0"/>
      <w:marTop w:val="0"/>
      <w:marBottom w:val="0"/>
      <w:divBdr>
        <w:top w:val="none" w:sz="0" w:space="0" w:color="auto"/>
        <w:left w:val="none" w:sz="0" w:space="0" w:color="auto"/>
        <w:bottom w:val="none" w:sz="0" w:space="0" w:color="auto"/>
        <w:right w:val="none" w:sz="0" w:space="0" w:color="auto"/>
      </w:divBdr>
    </w:div>
    <w:div w:id="1224752435">
      <w:bodyDiv w:val="1"/>
      <w:marLeft w:val="0"/>
      <w:marRight w:val="0"/>
      <w:marTop w:val="0"/>
      <w:marBottom w:val="0"/>
      <w:divBdr>
        <w:top w:val="none" w:sz="0" w:space="0" w:color="auto"/>
        <w:left w:val="none" w:sz="0" w:space="0" w:color="auto"/>
        <w:bottom w:val="none" w:sz="0" w:space="0" w:color="auto"/>
        <w:right w:val="none" w:sz="0" w:space="0" w:color="auto"/>
      </w:divBdr>
    </w:div>
    <w:div w:id="1647054955">
      <w:bodyDiv w:val="1"/>
      <w:marLeft w:val="0"/>
      <w:marRight w:val="0"/>
      <w:marTop w:val="0"/>
      <w:marBottom w:val="0"/>
      <w:divBdr>
        <w:top w:val="none" w:sz="0" w:space="0" w:color="auto"/>
        <w:left w:val="none" w:sz="0" w:space="0" w:color="auto"/>
        <w:bottom w:val="none" w:sz="0" w:space="0" w:color="auto"/>
        <w:right w:val="none" w:sz="0" w:space="0" w:color="auto"/>
      </w:divBdr>
    </w:div>
    <w:div w:id="1770543889">
      <w:bodyDiv w:val="1"/>
      <w:marLeft w:val="0"/>
      <w:marRight w:val="0"/>
      <w:marTop w:val="0"/>
      <w:marBottom w:val="0"/>
      <w:divBdr>
        <w:top w:val="none" w:sz="0" w:space="0" w:color="auto"/>
        <w:left w:val="none" w:sz="0" w:space="0" w:color="auto"/>
        <w:bottom w:val="none" w:sz="0" w:space="0" w:color="auto"/>
        <w:right w:val="none" w:sz="0" w:space="0" w:color="auto"/>
      </w:divBdr>
    </w:div>
    <w:div w:id="1903517858">
      <w:bodyDiv w:val="1"/>
      <w:marLeft w:val="0"/>
      <w:marRight w:val="0"/>
      <w:marTop w:val="0"/>
      <w:marBottom w:val="0"/>
      <w:divBdr>
        <w:top w:val="none" w:sz="0" w:space="0" w:color="auto"/>
        <w:left w:val="none" w:sz="0" w:space="0" w:color="auto"/>
        <w:bottom w:val="none" w:sz="0" w:space="0" w:color="auto"/>
        <w:right w:val="none" w:sz="0" w:space="0" w:color="auto"/>
      </w:divBdr>
    </w:div>
    <w:div w:id="1988707574">
      <w:bodyDiv w:val="1"/>
      <w:marLeft w:val="0"/>
      <w:marRight w:val="0"/>
      <w:marTop w:val="0"/>
      <w:marBottom w:val="0"/>
      <w:divBdr>
        <w:top w:val="none" w:sz="0" w:space="0" w:color="auto"/>
        <w:left w:val="none" w:sz="0" w:space="0" w:color="auto"/>
        <w:bottom w:val="none" w:sz="0" w:space="0" w:color="auto"/>
        <w:right w:val="none" w:sz="0" w:space="0" w:color="auto"/>
      </w:divBdr>
    </w:div>
    <w:div w:id="2005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ACA8A-12BA-45C5-A835-792FAAC9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1115</Words>
  <Characters>6361</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nam08</dc:creator>
  <cp:keywords/>
  <dc:description/>
  <cp:lastModifiedBy>Green, Angela D (HII-Ingalls)</cp:lastModifiedBy>
  <cp:revision>2</cp:revision>
  <cp:lastPrinted>2015-01-20T20:17:00Z</cp:lastPrinted>
  <dcterms:created xsi:type="dcterms:W3CDTF">2025-05-28T14:32:00Z</dcterms:created>
  <dcterms:modified xsi:type="dcterms:W3CDTF">2025-05-28T14:32:00Z</dcterms:modified>
  <cp:contentStatus/>
</cp:coreProperties>
</file>